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09AA" w:rsidRDefault="004609AA">
      <w:pPr>
        <w:rPr>
          <w:sz w:val="20"/>
          <w:szCs w:val="20"/>
        </w:rPr>
      </w:pPr>
    </w:p>
    <w:p w:rsidR="004609AA" w:rsidRDefault="004609AA">
      <w:pPr>
        <w:rPr>
          <w:sz w:val="20"/>
          <w:szCs w:val="20"/>
        </w:rPr>
      </w:pP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ПАСПОРТ</w:t>
      </w:r>
    </w:p>
    <w:p w:rsidR="00F23758" w:rsidRPr="00E915FE" w:rsidRDefault="00F23758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 w:rsidRPr="00E915FE">
        <w:rPr>
          <w:rFonts w:ascii="PT Astra Sans" w:eastAsia="Times New Roman" w:hAnsi="PT Astra Sans" w:cs="Arial"/>
          <w:b/>
          <w:lang w:eastAsia="ru-RU" w:bidi="ar-SA"/>
        </w:rPr>
        <w:t>муниципальной программы Белозерского района</w:t>
      </w:r>
    </w:p>
    <w:p w:rsidR="00F23758" w:rsidRDefault="00D00654" w:rsidP="00F23758">
      <w:pPr>
        <w:pStyle w:val="Standard"/>
        <w:jc w:val="center"/>
        <w:rPr>
          <w:rFonts w:ascii="PT Astra Sans" w:eastAsia="Times New Roman" w:hAnsi="PT Astra Sans" w:cs="Arial"/>
          <w:b/>
          <w:lang w:eastAsia="ru-RU" w:bidi="ar-SA"/>
        </w:rPr>
      </w:pPr>
      <w:r>
        <w:rPr>
          <w:rFonts w:ascii="PT Astra Sans" w:eastAsia="Times New Roman" w:hAnsi="PT Astra Sans" w:cs="Arial"/>
          <w:b/>
          <w:lang w:eastAsia="ru-RU" w:bidi="ar-SA"/>
        </w:rPr>
        <w:t>«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Комплексное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развитие сельских территорий Белозерского района</w:t>
      </w:r>
      <w:r>
        <w:rPr>
          <w:rFonts w:ascii="PT Astra Sans" w:eastAsia="Times New Roman" w:hAnsi="PT Astra Sans" w:cs="Arial"/>
          <w:b/>
          <w:lang w:eastAsia="ru-RU" w:bidi="ar-SA"/>
        </w:rPr>
        <w:t>»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 xml:space="preserve"> на 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20</w:t>
      </w:r>
      <w:r w:rsidRPr="00D00654">
        <w:rPr>
          <w:rFonts w:ascii="PT Astra Sans" w:eastAsia="Times New Roman" w:hAnsi="PT Astra Sans" w:cs="Arial"/>
          <w:b/>
          <w:lang w:eastAsia="ru-RU" w:bidi="ar-SA"/>
        </w:rPr>
        <w:t>-20</w:t>
      </w:r>
      <w:r w:rsidR="00EF798F">
        <w:rPr>
          <w:rFonts w:ascii="PT Astra Sans" w:eastAsia="Times New Roman" w:hAnsi="PT Astra Sans" w:cs="Arial"/>
          <w:b/>
          <w:lang w:eastAsia="ru-RU" w:bidi="ar-SA"/>
        </w:rPr>
        <w:t>25 годы</w:t>
      </w:r>
    </w:p>
    <w:p w:rsidR="00EF798F" w:rsidRPr="00E915FE" w:rsidRDefault="00EF798F" w:rsidP="00F23758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tbl>
      <w:tblPr>
        <w:tblW w:w="94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5820"/>
      </w:tblGrid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Наименование муниципальной</w:t>
            </w:r>
          </w:p>
          <w:p w:rsidR="00F23758" w:rsidRPr="00E915FE" w:rsidRDefault="00EF798F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Pr="00E915FE" w:rsidRDefault="00EF798F" w:rsidP="00EF798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Комплексн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ое развитие сельских территорий Белозерского района на 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-20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25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 xml:space="preserve"> годы 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Цель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Сохранение  доли сельского населения Белозерского </w:t>
            </w:r>
            <w:r>
              <w:rPr>
                <w:rFonts w:ascii="PT Astra Sans" w:hAnsi="PT Astra Sans"/>
              </w:rPr>
              <w:t>муниципального округа.</w:t>
            </w:r>
            <w:r w:rsidRPr="00ED36E0">
              <w:rPr>
                <w:rFonts w:ascii="PT Astra Sans" w:hAnsi="PT Astra Sans"/>
              </w:rPr>
              <w:t xml:space="preserve"> </w:t>
            </w:r>
          </w:p>
          <w:p w:rsidR="009C4BC6" w:rsidRPr="00E915FE" w:rsidRDefault="00EF798F" w:rsidP="00EF798F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>П</w:t>
            </w:r>
            <w:r w:rsidRPr="00ED36E0">
              <w:rPr>
                <w:rFonts w:ascii="PT Astra Sans" w:hAnsi="PT Astra Sans"/>
              </w:rPr>
              <w:t>овышение доли общей площади благоустроенных жилых помещений в сельских населенных пу</w:t>
            </w:r>
            <w:r>
              <w:rPr>
                <w:rFonts w:ascii="PT Astra Sans" w:hAnsi="PT Astra Sans"/>
              </w:rPr>
              <w:t>нктах</w:t>
            </w:r>
            <w:r w:rsidR="009C4BC6">
              <w:rPr>
                <w:rFonts w:ascii="PT Astra Sans" w:eastAsia="Times New Roman" w:hAnsi="PT Astra Sans" w:cs="Arial"/>
                <w:lang w:eastAsia="ru-RU" w:bidi="ar-SA"/>
              </w:rPr>
              <w:t>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Задачи 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EF798F" w:rsidRPr="00ED36E0" w:rsidRDefault="00FA6C2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 w:cs="Arial"/>
              </w:rPr>
              <w:t>-</w:t>
            </w:r>
            <w:r w:rsidR="009C4BC6">
              <w:rPr>
                <w:rFonts w:ascii="PT Astra Sans" w:hAnsi="PT Astra Sans" w:cs="Arial"/>
              </w:rPr>
              <w:t xml:space="preserve"> </w:t>
            </w:r>
            <w:r w:rsidR="00EF798F" w:rsidRPr="00ED36E0">
              <w:rPr>
                <w:rFonts w:ascii="PT Astra Sans" w:hAnsi="PT Astra Sans"/>
              </w:rPr>
              <w:t>Улучшение жилищных условий граждан, проживающих на сельских территориях;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обустройство инженерной инфраструктурой;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снижение уровня безработицы сельского населения трудоспособного возраста;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обеспечение сельских территорий объектами социальной и инженерной инфраструктуры; </w:t>
            </w:r>
          </w:p>
          <w:p w:rsidR="00EF798F" w:rsidRPr="00ED36E0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автомобильными дорогами общего пользования с твердым покрытием, ведущими от сети автомобильных дорог общего пользования к общественно значимым объектам сельских населенных пунктов,</w:t>
            </w:r>
            <w:r>
              <w:rPr>
                <w:rFonts w:ascii="PT Astra Sans" w:hAnsi="PT Astra Sans"/>
              </w:rPr>
              <w:t xml:space="preserve"> расположенным</w:t>
            </w:r>
            <w:r w:rsidRPr="00ED36E0">
              <w:rPr>
                <w:rFonts w:ascii="PT Astra Sans" w:hAnsi="PT Astra Sans"/>
              </w:rPr>
              <w:t xml:space="preserve"> на сельских территориях, объектам производства и переработки продукции; </w:t>
            </w:r>
          </w:p>
          <w:p w:rsidR="00EF798F" w:rsidRDefault="00EF798F" w:rsidP="00EF798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 xml:space="preserve">реализация общественно-значимых проектов по благоустройству сельских территорий; </w:t>
            </w:r>
          </w:p>
          <w:p w:rsidR="009C4BC6" w:rsidRPr="00E915FE" w:rsidRDefault="00EF798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обеспечение создания комфортных условий жизнедеятельности в сельской местности.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Заказчик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AF5FAD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Администрация Белозерского района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Исполнитель-координатор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FA6C2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Разработчик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Исполнители муниципальной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Pr="00E915FE" w:rsidRDefault="009C4BC6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Отдел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агропромышленного развития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Целевые индикаторы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</w:t>
            </w:r>
            <w:r>
              <w:rPr>
                <w:rFonts w:ascii="PT Astra Sans" w:hAnsi="PT Astra Sans"/>
              </w:rPr>
              <w:t>в</w:t>
            </w:r>
            <w:r w:rsidRPr="00ED36E0">
              <w:rPr>
                <w:rFonts w:ascii="PT Astra Sans" w:hAnsi="PT Astra Sans"/>
              </w:rPr>
              <w:t>вод (приобретение) жилья для граждан, проживающих на сельских территориях, тыс. кв. м;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действие распределительных газовых сетей,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ввод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продукции, км; 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количество реализованных проектов по благоустройству сельских территорий, ед.;</w:t>
            </w:r>
          </w:p>
          <w:p w:rsidR="0003052B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 w:rsidRPr="00ED36E0">
              <w:rPr>
                <w:rFonts w:ascii="PT Astra Sans" w:hAnsi="PT Astra Sans"/>
              </w:rPr>
              <w:lastRenderedPageBreak/>
              <w:t>- количество реализованных проектов комплексного развития сельских территорий (сельских агломераций), ед.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lastRenderedPageBreak/>
              <w:t>Сроки и этапы реализации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23758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20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>-202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годы</w:t>
            </w:r>
          </w:p>
          <w:p w:rsidR="0003052B" w:rsidRP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Финансовое обеспечение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муниципальной программы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</w:p>
        </w:tc>
        <w:tc>
          <w:tcPr>
            <w:tcW w:w="5820" w:type="dxa"/>
            <w:shd w:val="clear" w:color="auto" w:fill="auto"/>
          </w:tcPr>
          <w:p w:rsidR="00F23758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>Общий объем финанси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рования Программы составляет 1 230 427,3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 в том числе: средства федерального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1 172 923,5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областного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42 079,88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Default="0003052B" w:rsidP="00BE491C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муниципального бюджета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9 823,93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руб.,</w:t>
            </w:r>
          </w:p>
          <w:p w:rsidR="0003052B" w:rsidRPr="00E915FE" w:rsidRDefault="0003052B" w:rsidP="00FA6C2F">
            <w:pPr>
              <w:pStyle w:val="Standard"/>
              <w:jc w:val="center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средства внебюджетных источников – </w:t>
            </w:r>
            <w:r w:rsidR="00FA6C2F">
              <w:rPr>
                <w:rFonts w:ascii="PT Astra Sans" w:eastAsia="Times New Roman" w:hAnsi="PT Astra Sans" w:cs="Arial"/>
                <w:lang w:eastAsia="ru-RU" w:bidi="ar-SA"/>
              </w:rPr>
              <w:t>5 599,99</w:t>
            </w:r>
            <w:r>
              <w:rPr>
                <w:rFonts w:ascii="PT Astra Sans" w:eastAsia="Times New Roman" w:hAnsi="PT Astra Sans" w:cs="Arial"/>
                <w:lang w:eastAsia="ru-RU" w:bidi="ar-SA"/>
              </w:rPr>
              <w:t xml:space="preserve"> тыс. руб.</w:t>
            </w:r>
          </w:p>
        </w:tc>
      </w:tr>
      <w:tr w:rsidR="00F23758" w:rsidRPr="00E915FE" w:rsidTr="00EF798F">
        <w:tc>
          <w:tcPr>
            <w:tcW w:w="3652" w:type="dxa"/>
            <w:shd w:val="clear" w:color="auto" w:fill="auto"/>
          </w:tcPr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>Ожидаемые конечные результаты</w:t>
            </w:r>
          </w:p>
          <w:p w:rsidR="00F23758" w:rsidRPr="00E915FE" w:rsidRDefault="00F23758" w:rsidP="00BE491C">
            <w:pPr>
              <w:pStyle w:val="Standard"/>
              <w:rPr>
                <w:rFonts w:ascii="PT Astra Sans" w:eastAsia="Times New Roman" w:hAnsi="PT Astra Sans" w:cs="Arial"/>
                <w:lang w:eastAsia="ru-RU" w:bidi="ar-SA"/>
              </w:rPr>
            </w:pPr>
            <w:r w:rsidRPr="00E915FE">
              <w:rPr>
                <w:rFonts w:ascii="PT Astra Sans" w:eastAsia="Times New Roman" w:hAnsi="PT Astra Sans" w:cs="Arial"/>
                <w:lang w:eastAsia="ru-RU" w:bidi="ar-SA"/>
              </w:rPr>
              <w:t xml:space="preserve"> муниципальной программы</w:t>
            </w:r>
          </w:p>
        </w:tc>
        <w:tc>
          <w:tcPr>
            <w:tcW w:w="5820" w:type="dxa"/>
            <w:shd w:val="clear" w:color="auto" w:fill="auto"/>
          </w:tcPr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>
              <w:rPr>
                <w:rFonts w:ascii="PT Astra Sans" w:hAnsi="PT Astra Sans"/>
              </w:rPr>
              <w:t>- к</w:t>
            </w:r>
            <w:r w:rsidRPr="00ED36E0">
              <w:rPr>
                <w:rFonts w:ascii="PT Astra Sans" w:hAnsi="PT Astra Sans"/>
              </w:rPr>
              <w:t>оличество сельских семей, улучшивших жилищные</w:t>
            </w:r>
            <w:r>
              <w:rPr>
                <w:rFonts w:ascii="PT Astra Sans" w:hAnsi="PT Astra Sans"/>
              </w:rPr>
              <w:t xml:space="preserve"> </w:t>
            </w:r>
            <w:r w:rsidRPr="00ED36E0">
              <w:rPr>
                <w:rFonts w:ascii="PT Astra Sans" w:hAnsi="PT Astra Sans"/>
              </w:rPr>
              <w:t>условия;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уровня газификации жилых домов (квартир) сетевым газом в сельской местности</w:t>
            </w:r>
            <w:r>
              <w:rPr>
                <w:rFonts w:ascii="PT Astra Sans" w:hAnsi="PT Astra Sans"/>
              </w:rPr>
              <w:t>;</w:t>
            </w:r>
          </w:p>
          <w:p w:rsidR="00FA6C2F" w:rsidRPr="00ED36E0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>- увеличение протяженности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 сельскохозяйственной продукции;</w:t>
            </w:r>
          </w:p>
          <w:p w:rsidR="00FA6C2F" w:rsidRDefault="00FA6C2F" w:rsidP="00FA6C2F">
            <w:pPr>
              <w:jc w:val="both"/>
              <w:rPr>
                <w:rFonts w:ascii="PT Astra Sans" w:hAnsi="PT Astra Sans"/>
              </w:rPr>
            </w:pPr>
            <w:r w:rsidRPr="00ED36E0">
              <w:rPr>
                <w:rFonts w:ascii="PT Astra Sans" w:hAnsi="PT Astra Sans"/>
              </w:rPr>
              <w:t xml:space="preserve">- реализация общественно-значимых проектов по благоустройству сельских территорий; </w:t>
            </w:r>
          </w:p>
          <w:p w:rsidR="00191275" w:rsidRPr="00E915FE" w:rsidRDefault="00FA6C2F" w:rsidP="00FA6C2F">
            <w:pPr>
              <w:pStyle w:val="Standard"/>
              <w:jc w:val="both"/>
              <w:rPr>
                <w:rFonts w:ascii="PT Astra Sans" w:eastAsia="Times New Roman" w:hAnsi="PT Astra Sans" w:cs="Arial"/>
                <w:lang w:eastAsia="ru-RU" w:bidi="ar-SA"/>
              </w:rPr>
            </w:pPr>
            <w:r>
              <w:rPr>
                <w:rFonts w:ascii="PT Astra Sans" w:hAnsi="PT Astra Sans"/>
              </w:rPr>
              <w:t xml:space="preserve">- </w:t>
            </w:r>
            <w:r w:rsidRPr="00ED36E0">
              <w:rPr>
                <w:rFonts w:ascii="PT Astra Sans" w:hAnsi="PT Astra Sans"/>
              </w:rPr>
              <w:t>реализация проектов комплексного развития сельских территорий (сельских агломераций).</w:t>
            </w:r>
          </w:p>
        </w:tc>
      </w:tr>
    </w:tbl>
    <w:p w:rsidR="004609AA" w:rsidRPr="00E915FE" w:rsidRDefault="004609AA" w:rsidP="004609AA">
      <w:pPr>
        <w:pStyle w:val="Standard"/>
        <w:jc w:val="center"/>
        <w:rPr>
          <w:rFonts w:ascii="PT Astra Sans" w:eastAsia="Times New Roman" w:hAnsi="PT Astra Sans" w:cs="Arial"/>
          <w:lang w:eastAsia="ru-RU" w:bidi="ar-SA"/>
        </w:rPr>
      </w:pPr>
    </w:p>
    <w:p w:rsidR="00E915FE" w:rsidRP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915FE" w:rsidRPr="00E915FE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E915FE" w:rsidRDefault="00E915FE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D00654" w:rsidRDefault="00D00654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E915FE" w:rsidRDefault="00E915FE" w:rsidP="004609AA">
      <w:pPr>
        <w:pStyle w:val="Standard"/>
        <w:jc w:val="both"/>
        <w:rPr>
          <w:rFonts w:eastAsia="Times New Roman" w:cs="Times New Roman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Default="00E915FE" w:rsidP="00E915FE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</w:p>
    <w:p w:rsidR="0050125B" w:rsidRDefault="0050125B" w:rsidP="00FA6C2F">
      <w:pPr>
        <w:pStyle w:val="Standard"/>
        <w:rPr>
          <w:rFonts w:eastAsia="Times New Roman" w:cs="Arial"/>
          <w:b/>
          <w:sz w:val="28"/>
          <w:szCs w:val="28"/>
          <w:lang w:eastAsia="ru-RU" w:bidi="ar-SA"/>
        </w:rPr>
      </w:pPr>
    </w:p>
    <w:p w:rsidR="00E915FE" w:rsidRPr="00FA6C2F" w:rsidRDefault="00E915FE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AF5FAD" w:rsidRDefault="00AF5FAD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AF5FAD" w:rsidRDefault="00AF5FAD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AF5FAD" w:rsidRDefault="00AF5FAD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AF5FAD" w:rsidRPr="00FA6C2F" w:rsidRDefault="00AF5FAD" w:rsidP="00AF5FAD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lastRenderedPageBreak/>
        <w:t xml:space="preserve">Форма </w:t>
      </w:r>
      <w:r>
        <w:rPr>
          <w:rFonts w:ascii="PT Astra Sans" w:eastAsia="Times New Roman" w:hAnsi="PT Astra Sans" w:cs="Times New Roman"/>
          <w:lang w:eastAsia="ru-RU" w:bidi="ar-SA"/>
        </w:rPr>
        <w:t>1</w:t>
      </w:r>
      <w:r w:rsidRPr="00FA6C2F">
        <w:rPr>
          <w:rFonts w:ascii="PT Astra Sans" w:eastAsia="Times New Roman" w:hAnsi="PT Astra Sans" w:cs="Times New Roman"/>
          <w:lang w:eastAsia="ru-RU" w:bidi="ar-SA"/>
        </w:rPr>
        <w:t>. </w:t>
      </w:r>
      <w:r>
        <w:rPr>
          <w:rFonts w:ascii="PT Astra Sans" w:eastAsia="Times New Roman" w:hAnsi="PT Astra Sans" w:cs="Times New Roman"/>
          <w:lang w:eastAsia="ru-RU" w:bidi="ar-SA"/>
        </w:rPr>
        <w:t xml:space="preserve">Динамика целевых </w:t>
      </w:r>
      <w:proofErr w:type="gramStart"/>
      <w:r>
        <w:rPr>
          <w:rFonts w:ascii="PT Astra Sans" w:eastAsia="Times New Roman" w:hAnsi="PT Astra Sans" w:cs="Times New Roman"/>
          <w:lang w:eastAsia="ru-RU" w:bidi="ar-SA"/>
        </w:rPr>
        <w:t xml:space="preserve">значений 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целевых</w:t>
      </w:r>
      <w:proofErr w:type="gramEnd"/>
      <w:r w:rsidRPr="00FA6C2F">
        <w:rPr>
          <w:rFonts w:ascii="PT Astra Sans" w:eastAsia="Times New Roman" w:hAnsi="PT Astra Sans" w:cs="Times New Roman"/>
          <w:lang w:eastAsia="ru-RU" w:bidi="ar-SA"/>
        </w:rPr>
        <w:t xml:space="preserve"> индикаторов муниципальной программы «</w:t>
      </w:r>
      <w:r>
        <w:rPr>
          <w:rFonts w:ascii="PT Astra Sans" w:eastAsia="Times New Roman" w:hAnsi="PT Astra Sans" w:cs="Times New Roman"/>
          <w:lang w:eastAsia="ru-RU" w:bidi="ar-SA"/>
        </w:rPr>
        <w:t>Комплексное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развитие сельских терри</w:t>
      </w:r>
      <w:r>
        <w:rPr>
          <w:rFonts w:ascii="PT Astra Sans" w:eastAsia="Times New Roman" w:hAnsi="PT Astra Sans" w:cs="Times New Roman"/>
          <w:lang w:eastAsia="ru-RU" w:bidi="ar-SA"/>
        </w:rPr>
        <w:t>торий Белозерского района на 2020-2025 годы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08"/>
        <w:gridCol w:w="1289"/>
        <w:gridCol w:w="1020"/>
        <w:gridCol w:w="1020"/>
        <w:gridCol w:w="977"/>
        <w:gridCol w:w="977"/>
        <w:gridCol w:w="977"/>
        <w:gridCol w:w="977"/>
      </w:tblGrid>
      <w:tr w:rsidR="00AF5FAD" w:rsidTr="00AF5FAD">
        <w:tc>
          <w:tcPr>
            <w:tcW w:w="2108" w:type="dxa"/>
            <w:vMerge w:val="restart"/>
          </w:tcPr>
          <w:p w:rsidR="00AF5FAD" w:rsidRDefault="00AF5FA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289" w:type="dxa"/>
            <w:vMerge w:val="restart"/>
          </w:tcPr>
          <w:p w:rsidR="00AF5FAD" w:rsidRDefault="00AF5FA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2122" w:type="dxa"/>
            <w:gridSpan w:val="2"/>
          </w:tcPr>
          <w:p w:rsidR="00AF5FAD" w:rsidRDefault="00AF5FA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2020</w:t>
            </w:r>
          </w:p>
        </w:tc>
        <w:tc>
          <w:tcPr>
            <w:tcW w:w="2026" w:type="dxa"/>
            <w:gridSpan w:val="2"/>
          </w:tcPr>
          <w:p w:rsidR="00AF5FAD" w:rsidRDefault="00AF5FA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2021</w:t>
            </w:r>
          </w:p>
        </w:tc>
        <w:tc>
          <w:tcPr>
            <w:tcW w:w="2026" w:type="dxa"/>
            <w:gridSpan w:val="2"/>
          </w:tcPr>
          <w:p w:rsidR="00AF5FAD" w:rsidRDefault="00AF5FA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2022</w:t>
            </w:r>
          </w:p>
        </w:tc>
      </w:tr>
      <w:tr w:rsidR="00AF5FAD" w:rsidTr="00AF5FAD">
        <w:tc>
          <w:tcPr>
            <w:tcW w:w="2108" w:type="dxa"/>
            <w:vMerge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289" w:type="dxa"/>
            <w:vMerge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061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061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013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013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013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013" w:type="dxa"/>
          </w:tcPr>
          <w:p w:rsidR="00AF5FAD" w:rsidRDefault="00AF5FAD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</w:tr>
      <w:tr w:rsidR="00AF5FAD" w:rsidTr="00A36125">
        <w:tc>
          <w:tcPr>
            <w:tcW w:w="2108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289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кв. м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144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126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AF5FAD" w:rsidTr="00A36125">
        <w:tc>
          <w:tcPr>
            <w:tcW w:w="2108" w:type="dxa"/>
            <w:vAlign w:val="center"/>
          </w:tcPr>
          <w:p w:rsidR="00AF5FAD" w:rsidRPr="00FA6C2F" w:rsidRDefault="00AF5FAD" w:rsidP="00AF5FAD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действие распр</w:t>
            </w:r>
            <w:r>
              <w:rPr>
                <w:rFonts w:ascii="PT Astra Sans" w:hAnsi="PT Astra Sans"/>
                <w:sz w:val="20"/>
                <w:szCs w:val="20"/>
              </w:rPr>
              <w:t>еделительных газовых сетей</w:t>
            </w:r>
          </w:p>
        </w:tc>
        <w:tc>
          <w:tcPr>
            <w:tcW w:w="1289" w:type="dxa"/>
            <w:vAlign w:val="center"/>
          </w:tcPr>
          <w:p w:rsidR="00AF5FAD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  <w:p w:rsidR="00AF5FAD" w:rsidRPr="00FA6C2F" w:rsidRDefault="00AF5FAD" w:rsidP="00AF5FA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30,6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AF5FAD" w:rsidTr="00A36125">
        <w:tc>
          <w:tcPr>
            <w:tcW w:w="2108" w:type="dxa"/>
            <w:vAlign w:val="center"/>
          </w:tcPr>
          <w:p w:rsidR="00AF5FAD" w:rsidRPr="00C41DDE" w:rsidRDefault="00AF5FAD" w:rsidP="00AF5FA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эксплуатацию автомобильных дорог общего пользования с твердым покрытием, ведущих от сети автомобильных дорог 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289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0,8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5,0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AF5FAD" w:rsidTr="00A36125">
        <w:tc>
          <w:tcPr>
            <w:tcW w:w="2108" w:type="dxa"/>
            <w:vAlign w:val="center"/>
          </w:tcPr>
          <w:p w:rsidR="00AF5FAD" w:rsidRPr="00C41DDE" w:rsidRDefault="00AF5FAD" w:rsidP="00AF5FAD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по благоустройству сельских территорий</w:t>
            </w:r>
          </w:p>
        </w:tc>
        <w:tc>
          <w:tcPr>
            <w:tcW w:w="1289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</w:tr>
      <w:tr w:rsidR="00AF5FAD" w:rsidTr="00A36125">
        <w:tc>
          <w:tcPr>
            <w:tcW w:w="2108" w:type="dxa"/>
            <w:vAlign w:val="center"/>
          </w:tcPr>
          <w:p w:rsidR="00AF5FAD" w:rsidRPr="00C41DDE" w:rsidRDefault="00AF5FAD" w:rsidP="00AF5FAD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289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61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</w:tcPr>
          <w:p w:rsidR="00AF5FAD" w:rsidRDefault="00DB44DC" w:rsidP="00AF5FAD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  <w:tc>
          <w:tcPr>
            <w:tcW w:w="1013" w:type="dxa"/>
            <w:vAlign w:val="center"/>
          </w:tcPr>
          <w:p w:rsidR="00AF5FAD" w:rsidRPr="00FA6C2F" w:rsidRDefault="00AF5FAD" w:rsidP="00AF5FAD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0</w:t>
            </w:r>
          </w:p>
        </w:tc>
      </w:tr>
    </w:tbl>
    <w:p w:rsidR="00AF5FAD" w:rsidRDefault="00AF5FAD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AF5FAD" w:rsidRDefault="00AF5FAD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BB5A20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 xml:space="preserve">Форма 2. Оценка целевых индикаторов муниципальной программы </w:t>
      </w:r>
    </w:p>
    <w:p w:rsidR="00D00654" w:rsidRPr="00FA6C2F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>«</w:t>
      </w:r>
      <w:r w:rsidR="00FA6C2F">
        <w:rPr>
          <w:rFonts w:ascii="PT Astra Sans" w:eastAsia="Times New Roman" w:hAnsi="PT Astra Sans" w:cs="Times New Roman"/>
          <w:lang w:eastAsia="ru-RU" w:bidi="ar-SA"/>
        </w:rPr>
        <w:t>Комплексное</w:t>
      </w:r>
      <w:r w:rsidR="00D00654" w:rsidRPr="00FA6C2F">
        <w:rPr>
          <w:rFonts w:ascii="PT Astra Sans" w:eastAsia="Times New Roman" w:hAnsi="PT Astra Sans" w:cs="Times New Roman"/>
          <w:lang w:eastAsia="ru-RU" w:bidi="ar-SA"/>
        </w:rPr>
        <w:t xml:space="preserve"> развитие сельских терри</w:t>
      </w:r>
      <w:r w:rsidR="00820F4C">
        <w:rPr>
          <w:rFonts w:ascii="PT Astra Sans" w:eastAsia="Times New Roman" w:hAnsi="PT Astra Sans" w:cs="Times New Roman"/>
          <w:lang w:eastAsia="ru-RU" w:bidi="ar-SA"/>
        </w:rPr>
        <w:t>торий Белозерского района на 2020-2025 годы</w:t>
      </w:r>
    </w:p>
    <w:p w:rsidR="004609AA" w:rsidRDefault="004609AA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>за 20</w:t>
      </w:r>
      <w:r w:rsidR="00820F4C">
        <w:rPr>
          <w:rFonts w:ascii="PT Astra Sans" w:eastAsia="Times New Roman" w:hAnsi="PT Astra Sans" w:cs="Times New Roman"/>
          <w:lang w:eastAsia="ru-RU" w:bidi="ar-SA"/>
        </w:rPr>
        <w:t>22</w:t>
      </w: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год</w:t>
      </w:r>
    </w:p>
    <w:p w:rsidR="00BB5A20" w:rsidRDefault="00BB5A20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110"/>
        <w:gridCol w:w="1471"/>
        <w:gridCol w:w="1409"/>
        <w:gridCol w:w="1408"/>
        <w:gridCol w:w="1509"/>
        <w:gridCol w:w="1438"/>
      </w:tblGrid>
      <w:tr w:rsidR="00BB5A20" w:rsidTr="005B4A71">
        <w:tc>
          <w:tcPr>
            <w:tcW w:w="2110" w:type="dxa"/>
            <w:vMerge w:val="restart"/>
          </w:tcPr>
          <w:p w:rsidR="00BB5A20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 xml:space="preserve">Наименование </w:t>
            </w:r>
            <w:proofErr w:type="gramStart"/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целевого  индикатора</w:t>
            </w:r>
            <w:proofErr w:type="gramEnd"/>
          </w:p>
        </w:tc>
        <w:tc>
          <w:tcPr>
            <w:tcW w:w="1491" w:type="dxa"/>
            <w:vMerge w:val="restart"/>
          </w:tcPr>
          <w:p w:rsidR="00BB5A20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Единица измерения</w:t>
            </w:r>
          </w:p>
        </w:tc>
        <w:tc>
          <w:tcPr>
            <w:tcW w:w="5970" w:type="dxa"/>
            <w:gridSpan w:val="4"/>
          </w:tcPr>
          <w:p w:rsidR="00BB5A20" w:rsidRDefault="0099238D" w:rsidP="00D00654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Значение целевого индикатора</w:t>
            </w:r>
          </w:p>
        </w:tc>
      </w:tr>
      <w:tr w:rsidR="00BB5A20" w:rsidTr="00BB5A20">
        <w:tc>
          <w:tcPr>
            <w:tcW w:w="2110" w:type="dxa"/>
            <w:vMerge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91" w:type="dxa"/>
            <w:vMerge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86" w:type="dxa"/>
          </w:tcPr>
          <w:p w:rsidR="00BB5A20" w:rsidRDefault="00BB5A20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план</w:t>
            </w:r>
          </w:p>
        </w:tc>
        <w:tc>
          <w:tcPr>
            <w:tcW w:w="1486" w:type="dxa"/>
          </w:tcPr>
          <w:p w:rsidR="00BB5A20" w:rsidRDefault="00BB5A20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факт</w:t>
            </w:r>
          </w:p>
        </w:tc>
        <w:tc>
          <w:tcPr>
            <w:tcW w:w="1509" w:type="dxa"/>
          </w:tcPr>
          <w:p w:rsidR="00BB5A20" w:rsidRDefault="00BB5A20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Отклонение, %</w:t>
            </w:r>
          </w:p>
        </w:tc>
        <w:tc>
          <w:tcPr>
            <w:tcW w:w="1489" w:type="dxa"/>
          </w:tcPr>
          <w:p w:rsidR="00BB5A20" w:rsidRDefault="00BB5A20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Оценка в баллах</w:t>
            </w:r>
          </w:p>
        </w:tc>
      </w:tr>
      <w:tr w:rsidR="00BB5A20" w:rsidTr="00BB5A20">
        <w:tc>
          <w:tcPr>
            <w:tcW w:w="2110" w:type="dxa"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Ввод (приобретение) жилья для граждан, проживающих в сельской местности</w:t>
            </w:r>
          </w:p>
        </w:tc>
        <w:tc>
          <w:tcPr>
            <w:tcW w:w="1491" w:type="dxa"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кв. м</w:t>
            </w:r>
          </w:p>
        </w:tc>
        <w:tc>
          <w:tcPr>
            <w:tcW w:w="1486" w:type="dxa"/>
          </w:tcPr>
          <w:p w:rsidR="00BB5A20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126</w:t>
            </w:r>
          </w:p>
        </w:tc>
        <w:tc>
          <w:tcPr>
            <w:tcW w:w="1486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0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</w:tr>
      <w:tr w:rsidR="00BB5A20" w:rsidTr="00BB5A20">
        <w:tc>
          <w:tcPr>
            <w:tcW w:w="2110" w:type="dxa"/>
            <w:vAlign w:val="center"/>
          </w:tcPr>
          <w:p w:rsidR="00BB5A20" w:rsidRPr="00FA6C2F" w:rsidRDefault="00BB5A20" w:rsidP="00BB5A20">
            <w:pPr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>вод в действие распр</w:t>
            </w:r>
            <w:r>
              <w:rPr>
                <w:rFonts w:ascii="PT Astra Sans" w:hAnsi="PT Astra Sans"/>
                <w:sz w:val="20"/>
                <w:szCs w:val="20"/>
              </w:rPr>
              <w:t>еделительных газовых сетей</w:t>
            </w:r>
          </w:p>
        </w:tc>
        <w:tc>
          <w:tcPr>
            <w:tcW w:w="1491" w:type="dxa"/>
            <w:vAlign w:val="center"/>
          </w:tcPr>
          <w:p w:rsidR="00BB5A20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км</w:t>
            </w:r>
          </w:p>
          <w:p w:rsidR="00BB5A20" w:rsidRPr="00FA6C2F" w:rsidRDefault="00BB5A20" w:rsidP="00BB5A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86" w:type="dxa"/>
          </w:tcPr>
          <w:p w:rsidR="00BB5A20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6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0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</w:tr>
      <w:tr w:rsidR="00BB5A20" w:rsidTr="00BB5A20">
        <w:tc>
          <w:tcPr>
            <w:tcW w:w="2110" w:type="dxa"/>
            <w:vAlign w:val="center"/>
          </w:tcPr>
          <w:p w:rsidR="00BB5A20" w:rsidRPr="00C41DDE" w:rsidRDefault="00BB5A20" w:rsidP="00BB5A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t>В</w:t>
            </w:r>
            <w:r w:rsidRPr="00C41DDE">
              <w:rPr>
                <w:rFonts w:ascii="PT Astra Sans" w:hAnsi="PT Astra Sans"/>
                <w:sz w:val="20"/>
                <w:szCs w:val="20"/>
              </w:rPr>
              <w:t xml:space="preserve">вод в эксплуатацию автомобильных дорог общего пользования с твердым покрытием, ведущих от сети автомобильных дорог </w:t>
            </w:r>
            <w:r w:rsidRPr="00C41DDE">
              <w:rPr>
                <w:rFonts w:ascii="PT Astra Sans" w:hAnsi="PT Astra Sans"/>
                <w:sz w:val="20"/>
                <w:szCs w:val="20"/>
              </w:rPr>
              <w:lastRenderedPageBreak/>
              <w:t>общего пользования к общественно значимым объектам сельских населенных пунктов, а также к объектам производства и переработки сельскохозяйственной продукции</w:t>
            </w:r>
          </w:p>
        </w:tc>
        <w:tc>
          <w:tcPr>
            <w:tcW w:w="1491" w:type="dxa"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lastRenderedPageBreak/>
              <w:t>км</w:t>
            </w:r>
          </w:p>
        </w:tc>
        <w:tc>
          <w:tcPr>
            <w:tcW w:w="1486" w:type="dxa"/>
          </w:tcPr>
          <w:p w:rsidR="00BB5A20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5,0</w:t>
            </w:r>
          </w:p>
        </w:tc>
        <w:tc>
          <w:tcPr>
            <w:tcW w:w="1486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0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-3</w:t>
            </w:r>
          </w:p>
        </w:tc>
      </w:tr>
      <w:tr w:rsidR="00BB5A20" w:rsidTr="00BB5A20">
        <w:tc>
          <w:tcPr>
            <w:tcW w:w="2110" w:type="dxa"/>
            <w:vAlign w:val="center"/>
          </w:tcPr>
          <w:p w:rsidR="00BB5A20" w:rsidRPr="00C41DDE" w:rsidRDefault="00BB5A20" w:rsidP="00BB5A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r>
              <w:rPr>
                <w:rFonts w:ascii="PT Astra Sans" w:hAnsi="PT Astra Sans"/>
                <w:sz w:val="20"/>
                <w:szCs w:val="20"/>
              </w:rPr>
              <w:lastRenderedPageBreak/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по благоустройству сельских территорий</w:t>
            </w:r>
          </w:p>
        </w:tc>
        <w:tc>
          <w:tcPr>
            <w:tcW w:w="1491" w:type="dxa"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1486" w:type="dxa"/>
          </w:tcPr>
          <w:p w:rsidR="00BB5A20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6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0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</w:tr>
      <w:tr w:rsidR="00BB5A20" w:rsidTr="00BB5A20">
        <w:tc>
          <w:tcPr>
            <w:tcW w:w="2110" w:type="dxa"/>
            <w:vAlign w:val="center"/>
          </w:tcPr>
          <w:p w:rsidR="00BB5A20" w:rsidRPr="00C41DDE" w:rsidRDefault="00BB5A20" w:rsidP="00BB5A20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>
              <w:rPr>
                <w:rFonts w:ascii="PT Astra Sans" w:hAnsi="PT Astra Sans"/>
                <w:sz w:val="20"/>
                <w:szCs w:val="20"/>
              </w:rPr>
              <w:t>К</w:t>
            </w:r>
            <w:r w:rsidRPr="00C41DDE">
              <w:rPr>
                <w:rFonts w:ascii="PT Astra Sans" w:hAnsi="PT Astra Sans"/>
                <w:sz w:val="20"/>
                <w:szCs w:val="20"/>
              </w:rPr>
              <w:t>оличество реализованных проектов комплексного развития сельских территорий (сельских агломераций)</w:t>
            </w:r>
          </w:p>
        </w:tc>
        <w:tc>
          <w:tcPr>
            <w:tcW w:w="1491" w:type="dxa"/>
            <w:vAlign w:val="center"/>
          </w:tcPr>
          <w:p w:rsidR="00BB5A20" w:rsidRPr="00FA6C2F" w:rsidRDefault="00BB5A20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  <w:proofErr w:type="spellStart"/>
            <w:r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ед</w:t>
            </w:r>
            <w:proofErr w:type="spellEnd"/>
          </w:p>
        </w:tc>
        <w:tc>
          <w:tcPr>
            <w:tcW w:w="1486" w:type="dxa"/>
          </w:tcPr>
          <w:p w:rsidR="00BB5A20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6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50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  <w:tc>
          <w:tcPr>
            <w:tcW w:w="1489" w:type="dxa"/>
          </w:tcPr>
          <w:p w:rsidR="00BB5A20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0</w:t>
            </w:r>
          </w:p>
        </w:tc>
      </w:tr>
      <w:tr w:rsidR="0099238D" w:rsidTr="00BB5A20">
        <w:tc>
          <w:tcPr>
            <w:tcW w:w="2110" w:type="dxa"/>
            <w:vAlign w:val="center"/>
          </w:tcPr>
          <w:p w:rsidR="0099238D" w:rsidRDefault="0099238D" w:rsidP="00BB5A20">
            <w:pPr>
              <w:pStyle w:val="Standard"/>
              <w:snapToGrid w:val="0"/>
              <w:jc w:val="both"/>
              <w:rPr>
                <w:rFonts w:ascii="PT Astra Sans" w:hAnsi="PT Astra Sans"/>
                <w:sz w:val="20"/>
                <w:szCs w:val="20"/>
              </w:rPr>
            </w:pPr>
            <w:r w:rsidRPr="00C41DDE"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  <w:t>Итоговая сводная оценка</w:t>
            </w:r>
          </w:p>
        </w:tc>
        <w:tc>
          <w:tcPr>
            <w:tcW w:w="1491" w:type="dxa"/>
            <w:vAlign w:val="center"/>
          </w:tcPr>
          <w:p w:rsidR="0099238D" w:rsidRDefault="0099238D" w:rsidP="00BB5A20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sz w:val="20"/>
                <w:szCs w:val="20"/>
                <w:lang w:eastAsia="ru-RU" w:bidi="ar-SA"/>
              </w:rPr>
            </w:pPr>
          </w:p>
        </w:tc>
        <w:tc>
          <w:tcPr>
            <w:tcW w:w="1486" w:type="dxa"/>
          </w:tcPr>
          <w:p w:rsidR="0099238D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86" w:type="dxa"/>
          </w:tcPr>
          <w:p w:rsidR="0099238D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509" w:type="dxa"/>
          </w:tcPr>
          <w:p w:rsidR="0099238D" w:rsidRDefault="0099238D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</w:p>
        </w:tc>
        <w:tc>
          <w:tcPr>
            <w:tcW w:w="1489" w:type="dxa"/>
          </w:tcPr>
          <w:p w:rsidR="0099238D" w:rsidRDefault="00A65D06" w:rsidP="00BB5A20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-6</w:t>
            </w:r>
          </w:p>
        </w:tc>
      </w:tr>
    </w:tbl>
    <w:p w:rsidR="00BB5A20" w:rsidRPr="00FA6C2F" w:rsidRDefault="00BB5A20" w:rsidP="00D00654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</w:p>
    <w:p w:rsidR="004609AA" w:rsidRPr="00FA6C2F" w:rsidRDefault="004609AA" w:rsidP="004609AA">
      <w:pPr>
        <w:pStyle w:val="Standard"/>
        <w:jc w:val="both"/>
        <w:rPr>
          <w:rFonts w:ascii="PT Astra Sans" w:eastAsia="Times New Roman" w:hAnsi="PT Astra Sans" w:cs="Times New Roman"/>
          <w:lang w:eastAsia="ru-RU" w:bidi="ar-SA"/>
        </w:rPr>
      </w:pPr>
    </w:p>
    <w:p w:rsidR="004609AA" w:rsidRDefault="004609AA" w:rsidP="004609AA">
      <w:pPr>
        <w:pStyle w:val="Standard"/>
        <w:jc w:val="both"/>
        <w:rPr>
          <w:rFonts w:ascii="PT Astra Sans" w:hAnsi="PT Astra Sans" w:cs="Times New Roman"/>
        </w:rPr>
      </w:pPr>
    </w:p>
    <w:p w:rsidR="00C41DDE" w:rsidRDefault="00C41DDE" w:rsidP="004609AA">
      <w:pPr>
        <w:pStyle w:val="Standard"/>
        <w:jc w:val="both"/>
        <w:rPr>
          <w:rFonts w:ascii="PT Astra Sans" w:hAnsi="PT Astra Sans" w:cs="Times New Roman"/>
        </w:rPr>
      </w:pPr>
    </w:p>
    <w:p w:rsidR="00BB5A20" w:rsidRDefault="004609AA" w:rsidP="00BB5A20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 xml:space="preserve">Форма 5. Оценка эффективности муниципальной программы </w:t>
      </w:r>
    </w:p>
    <w:p w:rsidR="00BB5A20" w:rsidRPr="00FA6C2F" w:rsidRDefault="004609AA" w:rsidP="00BB5A20">
      <w:pPr>
        <w:pStyle w:val="Standard"/>
        <w:jc w:val="center"/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lang w:eastAsia="ru-RU" w:bidi="ar-SA"/>
        </w:rPr>
        <w:t xml:space="preserve"> </w:t>
      </w:r>
      <w:r w:rsidR="00BB5A20" w:rsidRPr="00FA6C2F">
        <w:rPr>
          <w:rFonts w:ascii="PT Astra Sans" w:eastAsia="Times New Roman" w:hAnsi="PT Astra Sans" w:cs="Times New Roman"/>
          <w:lang w:eastAsia="ru-RU" w:bidi="ar-SA"/>
        </w:rPr>
        <w:t>«</w:t>
      </w:r>
      <w:r w:rsidR="00BB5A20">
        <w:rPr>
          <w:rFonts w:ascii="PT Astra Sans" w:eastAsia="Times New Roman" w:hAnsi="PT Astra Sans" w:cs="Times New Roman"/>
          <w:lang w:eastAsia="ru-RU" w:bidi="ar-SA"/>
        </w:rPr>
        <w:t>Комплексное</w:t>
      </w:r>
      <w:r w:rsidR="00BB5A20" w:rsidRPr="00FA6C2F">
        <w:rPr>
          <w:rFonts w:ascii="PT Astra Sans" w:eastAsia="Times New Roman" w:hAnsi="PT Astra Sans" w:cs="Times New Roman"/>
          <w:lang w:eastAsia="ru-RU" w:bidi="ar-SA"/>
        </w:rPr>
        <w:t xml:space="preserve"> развитие сельских терри</w:t>
      </w:r>
      <w:r w:rsidR="00BB5A20">
        <w:rPr>
          <w:rFonts w:ascii="PT Astra Sans" w:eastAsia="Times New Roman" w:hAnsi="PT Astra Sans" w:cs="Times New Roman"/>
          <w:lang w:eastAsia="ru-RU" w:bidi="ar-SA"/>
        </w:rPr>
        <w:t>торий Белозерского района на 2020-2025 годы</w:t>
      </w:r>
    </w:p>
    <w:tbl>
      <w:tblPr>
        <w:tblW w:w="9505" w:type="dxa"/>
        <w:tblInd w:w="6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489"/>
        <w:gridCol w:w="1751"/>
        <w:gridCol w:w="2265"/>
      </w:tblGrid>
      <w:tr w:rsidR="004609AA" w:rsidRPr="00FA6C2F" w:rsidTr="00D718B6">
        <w:trPr>
          <w:trHeight w:val="1005"/>
        </w:trPr>
        <w:tc>
          <w:tcPr>
            <w:tcW w:w="5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Вывод об эффективности муниципальной программы</w:t>
            </w:r>
          </w:p>
        </w:tc>
        <w:tc>
          <w:tcPr>
            <w:tcW w:w="17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Итоговая сводная оценка (баллов)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4609AA" w:rsidRPr="00FA6C2F" w:rsidRDefault="004609AA" w:rsidP="00D718B6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Предложения по дальнейшей реализации программы</w:t>
            </w:r>
          </w:p>
        </w:tc>
      </w:tr>
      <w:tr w:rsidR="004609AA" w:rsidRPr="00FA6C2F" w:rsidTr="00D718B6">
        <w:trPr>
          <w:trHeight w:val="240"/>
        </w:trPr>
        <w:tc>
          <w:tcPr>
            <w:tcW w:w="5489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4609AA" w:rsidP="00AC3791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 xml:space="preserve">Ожидаемая эффективность не достигнута, эффективность </w:t>
            </w:r>
            <w:r w:rsidR="00AC3791" w:rsidRPr="00FA6C2F">
              <w:rPr>
                <w:rFonts w:ascii="PT Astra Sans" w:eastAsia="Times New Roman" w:hAnsi="PT Astra Sans" w:cs="Times New Roman"/>
                <w:lang w:eastAsia="ru-RU" w:bidi="ar-SA"/>
              </w:rPr>
              <w:t>находится на уровне предыдущего года</w:t>
            </w:r>
          </w:p>
        </w:tc>
        <w:tc>
          <w:tcPr>
            <w:tcW w:w="1751" w:type="dxa"/>
            <w:tcBorders>
              <w:left w:val="single" w:sz="4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AC3791" w:rsidP="008F7799">
            <w:pPr>
              <w:pStyle w:val="Standard"/>
              <w:snapToGrid w:val="0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-</w:t>
            </w:r>
            <w:r w:rsidR="008F7799">
              <w:rPr>
                <w:rFonts w:ascii="PT Astra Sans" w:eastAsia="Times New Roman" w:hAnsi="PT Astra Sans" w:cs="Times New Roman"/>
                <w:lang w:eastAsia="ru-RU" w:bidi="ar-SA"/>
              </w:rPr>
              <w:t>6</w:t>
            </w:r>
          </w:p>
        </w:tc>
        <w:tc>
          <w:tcPr>
            <w:tcW w:w="226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4609AA" w:rsidRPr="00FA6C2F" w:rsidRDefault="006377EE" w:rsidP="00BB5A20">
            <w:pPr>
              <w:pStyle w:val="Standard"/>
              <w:snapToGrid w:val="0"/>
              <w:jc w:val="both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hAnsi="PT Astra Sans" w:cs="Arial"/>
              </w:rPr>
              <w:t>В связи с преобразованием в муниципальный округ действие программы прекращается</w:t>
            </w:r>
            <w:r w:rsidR="00BB5A20">
              <w:rPr>
                <w:rFonts w:ascii="PT Astra Sans" w:hAnsi="PT Astra Sans" w:cs="Arial"/>
              </w:rPr>
              <w:t>,</w:t>
            </w:r>
            <w:r>
              <w:rPr>
                <w:rFonts w:ascii="PT Astra Sans" w:hAnsi="PT Astra Sans" w:cs="Arial"/>
              </w:rPr>
              <w:t xml:space="preserve"> с 01.01.2023 </w:t>
            </w:r>
            <w:proofErr w:type="gramStart"/>
            <w:r>
              <w:rPr>
                <w:rFonts w:ascii="PT Astra Sans" w:hAnsi="PT Astra Sans" w:cs="Arial"/>
              </w:rPr>
              <w:t>года</w:t>
            </w:r>
            <w:r w:rsidRPr="000B474A">
              <w:rPr>
                <w:rFonts w:ascii="PT Astra Sans" w:hAnsi="PT Astra Sans" w:cs="Arial"/>
              </w:rPr>
              <w:t xml:space="preserve"> </w:t>
            </w:r>
            <w:r>
              <w:rPr>
                <w:rFonts w:ascii="PT Astra Sans" w:hAnsi="PT Astra Sans" w:cs="Arial"/>
              </w:rPr>
              <w:t xml:space="preserve"> </w:t>
            </w:r>
            <w:r w:rsidR="00BB5A20">
              <w:rPr>
                <w:rFonts w:ascii="PT Astra Sans" w:hAnsi="PT Astra Sans" w:cs="Arial"/>
              </w:rPr>
              <w:t>р</w:t>
            </w:r>
            <w:r>
              <w:rPr>
                <w:rFonts w:ascii="PT Astra Sans" w:hAnsi="PT Astra Sans" w:cs="Arial"/>
              </w:rPr>
              <w:t>азработать</w:t>
            </w:r>
            <w:proofErr w:type="gramEnd"/>
            <w:r>
              <w:rPr>
                <w:rFonts w:ascii="PT Astra Sans" w:hAnsi="PT Astra Sans" w:cs="Arial"/>
              </w:rPr>
              <w:t xml:space="preserve"> новую программу на 2023 и последующие годы</w:t>
            </w:r>
          </w:p>
        </w:tc>
      </w:tr>
    </w:tbl>
    <w:p w:rsidR="00F23758" w:rsidRPr="00FA6C2F" w:rsidRDefault="00F23758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Pr="00FA6C2F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58411A" w:rsidRDefault="0058411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6377EE" w:rsidRDefault="006377E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6377EE" w:rsidRDefault="006377E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6377EE" w:rsidRDefault="006377EE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9238D" w:rsidRDefault="0099238D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99238D" w:rsidRDefault="0099238D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C24936" w:rsidRDefault="00C24936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</w:p>
    <w:p w:rsidR="00C24936" w:rsidRPr="00FA6C2F" w:rsidRDefault="00C24936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bookmarkStart w:id="0" w:name="_GoBack"/>
      <w:bookmarkEnd w:id="0"/>
    </w:p>
    <w:p w:rsidR="004609AA" w:rsidRPr="00FA6C2F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lastRenderedPageBreak/>
        <w:t>Информация</w:t>
      </w:r>
    </w:p>
    <w:p w:rsidR="00BB5A20" w:rsidRDefault="004609AA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о финансировании муниципальной</w:t>
      </w:r>
      <w:r w:rsidR="00564A52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программы Белозерского района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</w:t>
      </w:r>
    </w:p>
    <w:p w:rsidR="004609AA" w:rsidRPr="00FA6C2F" w:rsidRDefault="00564A52" w:rsidP="004609AA">
      <w:pPr>
        <w:pStyle w:val="Standard"/>
        <w:jc w:val="center"/>
        <w:rPr>
          <w:rFonts w:ascii="PT Astra Sans" w:eastAsia="Times New Roman" w:hAnsi="PT Astra Sans" w:cs="Times New Roman"/>
          <w:b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«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Комплексн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ое развитие сельских территорий Белозерского района на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20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>-20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>25</w:t>
      </w:r>
      <w:r w:rsidR="004B6C78" w:rsidRPr="00FA6C2F">
        <w:rPr>
          <w:rFonts w:ascii="PT Astra Sans" w:eastAsia="Times New Roman" w:hAnsi="PT Astra Sans" w:cs="Times New Roman"/>
          <w:b/>
          <w:lang w:eastAsia="ru-RU" w:bidi="ar-SA"/>
        </w:rPr>
        <w:t xml:space="preserve"> годы </w:t>
      </w:r>
    </w:p>
    <w:p w:rsidR="004609AA" w:rsidRPr="00FA6C2F" w:rsidRDefault="004609AA" w:rsidP="00564A52">
      <w:pPr>
        <w:pStyle w:val="Standard"/>
        <w:jc w:val="center"/>
        <w:rPr>
          <w:rFonts w:ascii="PT Astra Sans" w:eastAsia="Times New Roman" w:hAnsi="PT Astra Sans" w:cs="Times New Roman"/>
          <w:sz w:val="28"/>
          <w:szCs w:val="28"/>
          <w:lang w:eastAsia="ru-RU" w:bidi="ar-SA"/>
        </w:rPr>
      </w:pPr>
      <w:r w:rsidRPr="00FA6C2F">
        <w:rPr>
          <w:rFonts w:ascii="PT Astra Sans" w:eastAsia="Times New Roman" w:hAnsi="PT Astra Sans" w:cs="Times New Roman"/>
          <w:b/>
          <w:lang w:eastAsia="ru-RU" w:bidi="ar-SA"/>
        </w:rPr>
        <w:t>за 20</w:t>
      </w:r>
      <w:r w:rsidR="00FA6C2F">
        <w:rPr>
          <w:rFonts w:ascii="PT Astra Sans" w:eastAsia="Times New Roman" w:hAnsi="PT Astra Sans" w:cs="Times New Roman"/>
          <w:b/>
          <w:lang w:eastAsia="ru-RU" w:bidi="ar-SA"/>
        </w:rPr>
        <w:t xml:space="preserve">22 </w:t>
      </w:r>
      <w:r w:rsidRPr="00FA6C2F">
        <w:rPr>
          <w:rFonts w:ascii="PT Astra Sans" w:eastAsia="Times New Roman" w:hAnsi="PT Astra Sans" w:cs="Times New Roman"/>
          <w:b/>
          <w:lang w:eastAsia="ru-RU" w:bidi="ar-SA"/>
        </w:rPr>
        <w:t>год</w:t>
      </w:r>
    </w:p>
    <w:p w:rsidR="004609AA" w:rsidRPr="00FA6C2F" w:rsidRDefault="004609AA" w:rsidP="004609AA">
      <w:pPr>
        <w:pStyle w:val="Standard"/>
        <w:tabs>
          <w:tab w:val="left" w:pos="7380"/>
          <w:tab w:val="right" w:pos="10063"/>
        </w:tabs>
        <w:rPr>
          <w:rFonts w:ascii="PT Astra Sans" w:eastAsia="Times New Roman" w:hAnsi="PT Astra Sans" w:cs="Times New Roman"/>
          <w:lang w:eastAsia="ru-RU" w:bidi="ar-SA"/>
        </w:rPr>
      </w:pP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</w:r>
      <w:r w:rsidRPr="00FA6C2F">
        <w:rPr>
          <w:rFonts w:ascii="PT Astra Sans" w:eastAsia="Times New Roman" w:hAnsi="PT Astra Sans" w:cs="Times New Roman"/>
          <w:lang w:eastAsia="ru-RU" w:bidi="ar-SA"/>
        </w:rPr>
        <w:t>тыс. рублей</w:t>
      </w:r>
      <w:r w:rsidRPr="00FA6C2F">
        <w:rPr>
          <w:rFonts w:ascii="PT Astra Sans" w:eastAsia="Times New Roman" w:hAnsi="PT Astra Sans" w:cs="Times New Roman"/>
          <w:sz w:val="28"/>
          <w:szCs w:val="28"/>
          <w:lang w:eastAsia="ru-RU" w:bidi="ar-SA"/>
        </w:rPr>
        <w:tab/>
        <w:t xml:space="preserve">                                                                                                                                                                                  </w:t>
      </w:r>
    </w:p>
    <w:tbl>
      <w:tblPr>
        <w:tblW w:w="0" w:type="auto"/>
        <w:tblInd w:w="-6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69"/>
        <w:gridCol w:w="1091"/>
        <w:gridCol w:w="850"/>
        <w:gridCol w:w="993"/>
        <w:gridCol w:w="1134"/>
        <w:gridCol w:w="1134"/>
        <w:gridCol w:w="1134"/>
      </w:tblGrid>
      <w:tr w:rsidR="006377EE" w:rsidRPr="00FA6C2F" w:rsidTr="00BB5A20">
        <w:trPr>
          <w:trHeight w:val="848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77EE" w:rsidRPr="00FA6C2F" w:rsidRDefault="006377EE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 w:rsidRPr="00FA6C2F">
              <w:rPr>
                <w:rFonts w:ascii="PT Astra Sans" w:eastAsia="Times New Roman" w:hAnsi="PT Astra Sans" w:cs="Times New Roman"/>
                <w:lang w:eastAsia="ru-RU" w:bidi="ar-SA"/>
              </w:rPr>
              <w:t>Источник финансирования</w:t>
            </w:r>
          </w:p>
        </w:tc>
        <w:tc>
          <w:tcPr>
            <w:tcW w:w="19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7EE" w:rsidRPr="00FA6C2F" w:rsidRDefault="006377EE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2020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7EE" w:rsidRPr="00FA6C2F" w:rsidRDefault="006377EE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2021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77EE" w:rsidRPr="00FA6C2F" w:rsidRDefault="006377EE" w:rsidP="00D718B6">
            <w:pPr>
              <w:pStyle w:val="Standard"/>
              <w:jc w:val="center"/>
              <w:rPr>
                <w:rFonts w:ascii="PT Astra Sans" w:eastAsia="Times New Roman" w:hAnsi="PT Astra Sans" w:cs="Times New Roman"/>
                <w:lang w:eastAsia="ru-RU" w:bidi="ar-SA"/>
              </w:rPr>
            </w:pPr>
            <w:r>
              <w:rPr>
                <w:rFonts w:ascii="PT Astra Sans" w:eastAsia="Times New Roman" w:hAnsi="PT Astra Sans" w:cs="Times New Roman"/>
                <w:lang w:eastAsia="ru-RU" w:bidi="ar-SA"/>
              </w:rPr>
              <w:t>2022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  <w:kern w:val="3"/>
              </w:rPr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факт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план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факт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ИТОГО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DB44DC">
            <w:r>
              <w:t>382</w:t>
            </w:r>
            <w:r w:rsidR="00DB44DC">
              <w:t>084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r>
              <w:t>745,7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77 550,0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федеральный бюджет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DB44DC">
            <w:r>
              <w:t>370</w:t>
            </w:r>
            <w:r w:rsidR="00DB44DC">
              <w:t>056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r>
              <w:t>507,7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76 018,5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областной бюджет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DB44DC">
            <w:r>
              <w:t>7</w:t>
            </w:r>
            <w:r w:rsidR="00DB44DC">
              <w:t>492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r>
              <w:t>10,5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7</w:t>
            </w:r>
            <w:r>
              <w:rPr>
                <w:rFonts w:ascii="PT Astra Sans" w:hAnsi="PT Astra Sans"/>
                <w:kern w:val="3"/>
              </w:rPr>
              <w:t>75</w:t>
            </w:r>
            <w:r w:rsidRPr="00FA6C2F">
              <w:rPr>
                <w:rFonts w:ascii="PT Astra Sans" w:hAnsi="PT Astra Sans"/>
                <w:kern w:val="3"/>
              </w:rPr>
              <w:t>,</w:t>
            </w:r>
            <w:r>
              <w:rPr>
                <w:rFonts w:ascii="PT Astra Sans" w:hAnsi="PT Astra Sans"/>
                <w:kern w:val="3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</w:rPr>
              <w:t>бюджет района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DB44DC">
            <w:r>
              <w:t>36</w:t>
            </w:r>
            <w:r w:rsidR="00DB44DC">
              <w:t>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r>
              <w:t>99,5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0</w:t>
            </w:r>
          </w:p>
        </w:tc>
      </w:tr>
      <w:tr w:rsidR="006377EE" w:rsidRPr="00FA6C2F" w:rsidTr="00BB5A20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rPr>
                <w:rFonts w:ascii="PT Astra Sans" w:hAnsi="PT Astra Sans"/>
              </w:rPr>
            </w:pPr>
            <w:r w:rsidRPr="00FA6C2F">
              <w:rPr>
                <w:rFonts w:ascii="PT Astra Sans" w:hAnsi="PT Astra Sans"/>
              </w:rPr>
              <w:t>внебюджетные источники</w:t>
            </w: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DB44DC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DB44DC" w:rsidP="006377EE">
            <w:r>
              <w:t>864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77EE" w:rsidRDefault="006377EE" w:rsidP="006377EE">
            <w:r>
              <w:t>128,0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 w:rsidRPr="00FA6C2F">
              <w:rPr>
                <w:rFonts w:ascii="PT Astra Sans" w:hAnsi="PT Astra Sans"/>
                <w:kern w:val="3"/>
              </w:rPr>
              <w:t>7</w:t>
            </w:r>
            <w:r>
              <w:rPr>
                <w:rFonts w:ascii="PT Astra Sans" w:hAnsi="PT Astra Sans"/>
                <w:kern w:val="3"/>
              </w:rPr>
              <w:t>5</w:t>
            </w:r>
            <w:r w:rsidRPr="00FA6C2F">
              <w:rPr>
                <w:rFonts w:ascii="PT Astra Sans" w:hAnsi="PT Astra Sans"/>
                <w:kern w:val="3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77EE" w:rsidRPr="00FA6C2F" w:rsidRDefault="006377EE" w:rsidP="006377EE">
            <w:pPr>
              <w:jc w:val="center"/>
              <w:rPr>
                <w:rFonts w:ascii="PT Astra Sans" w:hAnsi="PT Astra Sans"/>
                <w:kern w:val="3"/>
              </w:rPr>
            </w:pPr>
            <w:r>
              <w:rPr>
                <w:rFonts w:ascii="PT Astra Sans" w:hAnsi="PT Astra Sans"/>
                <w:kern w:val="3"/>
              </w:rPr>
              <w:t>0</w:t>
            </w:r>
          </w:p>
        </w:tc>
      </w:tr>
    </w:tbl>
    <w:p w:rsidR="004609AA" w:rsidRDefault="004609AA">
      <w:pPr>
        <w:rPr>
          <w:sz w:val="20"/>
          <w:szCs w:val="20"/>
        </w:rPr>
      </w:pPr>
    </w:p>
    <w:tbl>
      <w:tblPr>
        <w:tblW w:w="4184" w:type="dxa"/>
        <w:tblInd w:w="51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84"/>
      </w:tblGrid>
      <w:tr w:rsidR="00F23758" w:rsidTr="00BE491C">
        <w:trPr>
          <w:trHeight w:val="1575"/>
        </w:trPr>
        <w:tc>
          <w:tcPr>
            <w:tcW w:w="4184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58411A" w:rsidRDefault="0058411A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</w:p>
          <w:p w:rsidR="00F23758" w:rsidRDefault="00F23758" w:rsidP="00BE491C">
            <w:pPr>
              <w:pStyle w:val="Standard"/>
              <w:snapToGrid w:val="0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Приложение 2 к постановлению</w:t>
            </w:r>
          </w:p>
          <w:p w:rsidR="00F23758" w:rsidRDefault="00F23758" w:rsidP="00BE491C">
            <w:pPr>
              <w:pStyle w:val="Standard"/>
              <w:rPr>
                <w:rFonts w:eastAsia="Times New Roman" w:cs="Arial"/>
                <w:sz w:val="28"/>
                <w:szCs w:val="28"/>
                <w:lang w:eastAsia="ru-RU" w:bidi="ar-SA"/>
              </w:rPr>
            </w:pP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Администрации Белозерского района </w:t>
            </w:r>
            <w:r w:rsidRPr="00C91256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от </w:t>
            </w: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«</w:t>
            </w:r>
            <w:r w:rsidRPr="00515DAE">
              <w:rPr>
                <w:rFonts w:eastAsia="Times New Roman" w:cs="Arial"/>
                <w:sz w:val="28"/>
                <w:szCs w:val="28"/>
                <w:u w:val="single"/>
                <w:lang w:eastAsia="ru-RU" w:bidi="ar-SA"/>
              </w:rPr>
              <w:t>28</w:t>
            </w: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>» октября 2013</w:t>
            </w:r>
            <w:r w:rsidRPr="00C91256"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года  № </w:t>
            </w:r>
            <w:r w:rsidRPr="00515DAE">
              <w:rPr>
                <w:rFonts w:eastAsia="Times New Roman" w:cs="Arial"/>
                <w:sz w:val="28"/>
                <w:szCs w:val="28"/>
                <w:u w:val="single"/>
                <w:lang w:eastAsia="ru-RU" w:bidi="ar-SA"/>
              </w:rPr>
              <w:t>466</w:t>
            </w:r>
            <w:r>
              <w:rPr>
                <w:rFonts w:eastAsia="Times New Roman" w:cs="Arial"/>
                <w:sz w:val="28"/>
                <w:szCs w:val="28"/>
                <w:lang w:eastAsia="ru-RU" w:bidi="ar-SA"/>
              </w:rPr>
              <w:t xml:space="preserve"> «О муниципальных программах Белозерского района»</w:t>
            </w:r>
          </w:p>
        </w:tc>
      </w:tr>
    </w:tbl>
    <w:p w:rsidR="00F23758" w:rsidRDefault="00F23758" w:rsidP="00F23758">
      <w:pPr>
        <w:pStyle w:val="Standard"/>
        <w:jc w:val="both"/>
        <w:rPr>
          <w:sz w:val="28"/>
          <w:szCs w:val="28"/>
        </w:rPr>
      </w:pPr>
    </w:p>
    <w:p w:rsidR="00F23758" w:rsidRDefault="00F23758" w:rsidP="00F23758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F23758" w:rsidRDefault="00F23758" w:rsidP="00F23758">
      <w:pPr>
        <w:pStyle w:val="Standard"/>
        <w:jc w:val="both"/>
        <w:rPr>
          <w:rFonts w:eastAsia="Times New Roman" w:cs="Arial"/>
          <w:sz w:val="28"/>
          <w:szCs w:val="28"/>
          <w:lang w:eastAsia="ru-RU" w:bidi="ar-SA"/>
        </w:rPr>
      </w:pPr>
    </w:p>
    <w:p w:rsidR="00F23758" w:rsidRPr="00E6392B" w:rsidRDefault="00F23758" w:rsidP="00F23758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E6392B">
        <w:rPr>
          <w:rFonts w:eastAsia="Times New Roman" w:cs="Arial"/>
          <w:b/>
          <w:sz w:val="28"/>
          <w:szCs w:val="28"/>
          <w:lang w:eastAsia="ru-RU" w:bidi="ar-SA"/>
        </w:rPr>
        <w:t>ПОРЯДОК</w:t>
      </w:r>
    </w:p>
    <w:p w:rsidR="00F23758" w:rsidRPr="00E6392B" w:rsidRDefault="00F23758" w:rsidP="00F23758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E6392B">
        <w:rPr>
          <w:rFonts w:eastAsia="Times New Roman" w:cs="Arial"/>
          <w:b/>
          <w:sz w:val="28"/>
          <w:szCs w:val="28"/>
          <w:lang w:eastAsia="ru-RU" w:bidi="ar-SA"/>
        </w:rPr>
        <w:t>проведения и критерии оценки эффективности реализации</w:t>
      </w:r>
    </w:p>
    <w:p w:rsidR="00F23758" w:rsidRPr="00E6392B" w:rsidRDefault="00F23758" w:rsidP="00F23758">
      <w:pPr>
        <w:pStyle w:val="Standard"/>
        <w:jc w:val="center"/>
        <w:rPr>
          <w:rFonts w:eastAsia="Times New Roman" w:cs="Arial"/>
          <w:b/>
          <w:sz w:val="28"/>
          <w:szCs w:val="28"/>
          <w:lang w:eastAsia="ru-RU" w:bidi="ar-SA"/>
        </w:rPr>
      </w:pPr>
      <w:r w:rsidRPr="00E6392B">
        <w:rPr>
          <w:rFonts w:eastAsia="Times New Roman" w:cs="Arial"/>
          <w:b/>
          <w:sz w:val="28"/>
          <w:szCs w:val="28"/>
          <w:lang w:eastAsia="ru-RU" w:bidi="ar-SA"/>
        </w:rPr>
        <w:t xml:space="preserve">муниципальных программ </w:t>
      </w:r>
      <w:r>
        <w:rPr>
          <w:rFonts w:eastAsia="Times New Roman" w:cs="Arial"/>
          <w:b/>
          <w:sz w:val="28"/>
          <w:szCs w:val="28"/>
          <w:lang w:eastAsia="ru-RU" w:bidi="ar-SA"/>
        </w:rPr>
        <w:t>Белозерского</w:t>
      </w:r>
      <w:r w:rsidRPr="00E6392B">
        <w:rPr>
          <w:rFonts w:eastAsia="Times New Roman" w:cs="Arial"/>
          <w:b/>
          <w:sz w:val="28"/>
          <w:szCs w:val="28"/>
          <w:lang w:eastAsia="ru-RU" w:bidi="ar-SA"/>
        </w:rPr>
        <w:t xml:space="preserve"> района</w:t>
      </w:r>
    </w:p>
    <w:p w:rsidR="00F23758" w:rsidRDefault="00F23758" w:rsidP="00F23758">
      <w:pPr>
        <w:pStyle w:val="Standard"/>
        <w:jc w:val="center"/>
        <w:rPr>
          <w:rFonts w:eastAsia="Times New Roman" w:cs="Arial"/>
          <w:sz w:val="28"/>
          <w:szCs w:val="28"/>
          <w:lang w:eastAsia="ru-RU" w:bidi="ar-SA"/>
        </w:rPr>
      </w:pP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1. Настоящий Порядок определяет правила и критерии оценки эффективности реализации муниципальных программ Белозерского района (далее - муниципальные программы), позволяющие определить степень достижения целей и задач муниципальных программ в зависимости от конечных результатов.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2. Критериями оценки эффективности реализации муниципальной программы являются целевые индикаторы, указанные в муниципальной программе. Если муниципальная программа состоит из подпрограмм, то эффективность реализации муниципальной программы определяется как оценка эффективности реализации каждой подпрограммы входящей в ее состав.</w:t>
      </w:r>
    </w:p>
    <w:p w:rsidR="00F23758" w:rsidRPr="00F23758" w:rsidRDefault="00F23758" w:rsidP="00F23758">
      <w:pPr>
        <w:pStyle w:val="Standard"/>
        <w:ind w:firstLine="708"/>
        <w:jc w:val="both"/>
        <w:rPr>
          <w:rFonts w:eastAsia="Times New Roman" w:cs="Arial"/>
          <w:b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3</w:t>
      </w:r>
      <w:r w:rsidRPr="00F23758">
        <w:rPr>
          <w:rFonts w:eastAsia="Times New Roman" w:cs="Arial"/>
          <w:b/>
          <w:sz w:val="28"/>
          <w:szCs w:val="28"/>
          <w:lang w:eastAsia="ru-RU" w:bidi="ar-SA"/>
        </w:rPr>
        <w:t>. Оценка эффективности реализации муниципальной программы (подпрограммы) осуществляется путем присвоения каждому целевому индикатору соответствующего балла:</w:t>
      </w:r>
    </w:p>
    <w:p w:rsidR="00F23758" w:rsidRPr="00F23758" w:rsidRDefault="00F23758" w:rsidP="00F23758">
      <w:pPr>
        <w:pStyle w:val="Standard"/>
        <w:jc w:val="both"/>
        <w:rPr>
          <w:rFonts w:eastAsia="Times New Roman" w:cs="Arial"/>
          <w:b/>
          <w:sz w:val="28"/>
          <w:szCs w:val="28"/>
          <w:lang w:eastAsia="ru-RU" w:bidi="ar-SA"/>
        </w:rPr>
      </w:pPr>
      <w:r w:rsidRPr="00F23758">
        <w:rPr>
          <w:rFonts w:eastAsia="Times New Roman" w:cs="Arial"/>
          <w:b/>
          <w:sz w:val="28"/>
          <w:szCs w:val="28"/>
          <w:lang w:eastAsia="ru-RU" w:bidi="ar-SA"/>
        </w:rPr>
        <w:tab/>
        <w:t>при выполнении целевого индикатора от установленного значения в пределах  97,0 -103,0 процентов – 1 балл;</w:t>
      </w:r>
    </w:p>
    <w:p w:rsidR="00F23758" w:rsidRPr="00F23758" w:rsidRDefault="00F23758" w:rsidP="00F23758">
      <w:pPr>
        <w:pStyle w:val="Standard"/>
        <w:jc w:val="both"/>
        <w:rPr>
          <w:rFonts w:eastAsia="Times New Roman" w:cs="Arial"/>
          <w:b/>
          <w:sz w:val="28"/>
          <w:szCs w:val="28"/>
          <w:lang w:eastAsia="ru-RU" w:bidi="ar-SA"/>
        </w:rPr>
      </w:pPr>
      <w:r w:rsidRPr="00F23758">
        <w:rPr>
          <w:rFonts w:eastAsia="Times New Roman" w:cs="Arial"/>
          <w:b/>
          <w:sz w:val="28"/>
          <w:szCs w:val="28"/>
          <w:lang w:eastAsia="ru-RU" w:bidi="ar-SA"/>
        </w:rPr>
        <w:tab/>
        <w:t>при выполнении целевого индикатора от установленного значения в пределах 103,1-110,0 процентов - плюс 2 балла; 110,1-120,0 процентов - плюс 3 балла; более чем на 120,1 процентов - плюс 4 балла;</w:t>
      </w:r>
    </w:p>
    <w:p w:rsidR="00F23758" w:rsidRPr="00F23758" w:rsidRDefault="00F23758" w:rsidP="00F23758">
      <w:pPr>
        <w:pStyle w:val="Standard"/>
        <w:ind w:firstLine="708"/>
        <w:jc w:val="both"/>
        <w:rPr>
          <w:rFonts w:eastAsia="Times New Roman" w:cs="Arial"/>
          <w:b/>
          <w:sz w:val="28"/>
          <w:szCs w:val="28"/>
          <w:lang w:eastAsia="ru-RU" w:bidi="ar-SA"/>
        </w:rPr>
      </w:pPr>
      <w:r w:rsidRPr="00F23758">
        <w:rPr>
          <w:rFonts w:eastAsia="Times New Roman" w:cs="Arial"/>
          <w:b/>
          <w:sz w:val="28"/>
          <w:szCs w:val="28"/>
          <w:lang w:eastAsia="ru-RU" w:bidi="ar-SA"/>
        </w:rPr>
        <w:t>при невыполнении целевого индикатора от установленного значения в пределах 90,0 – 96,9 процентов - минус 2 балла; менее чем на 90,0 процентов - минус 3 балла.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4.  По результатам оценки эффективности муниципальной программы (подпрограммы) могут быть сделаны следующие выводы: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- ожидаемая эффективность достигнута;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-  ожидаемая эффективность не достигнута;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- эффективность снизилась по сравнению с предыдущим годом;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- эффективность находится на уровне предыдущего года;</w:t>
      </w:r>
    </w:p>
    <w:p w:rsidR="00F23758" w:rsidRDefault="00F23758" w:rsidP="00F23758">
      <w:pPr>
        <w:pStyle w:val="Standard"/>
        <w:ind w:firstLine="708"/>
        <w:jc w:val="both"/>
        <w:rPr>
          <w:rFonts w:eastAsia="Times New Roman" w:cs="Arial"/>
          <w:sz w:val="28"/>
          <w:szCs w:val="28"/>
          <w:lang w:eastAsia="ru-RU" w:bidi="ar-SA"/>
        </w:rPr>
      </w:pPr>
      <w:r>
        <w:rPr>
          <w:rFonts w:eastAsia="Times New Roman" w:cs="Arial"/>
          <w:sz w:val="28"/>
          <w:szCs w:val="28"/>
          <w:lang w:eastAsia="ru-RU" w:bidi="ar-SA"/>
        </w:rPr>
        <w:t>- эффективность повысилась по сравнению с предыдущим годом.</w:t>
      </w:r>
    </w:p>
    <w:p w:rsidR="004609AA" w:rsidRDefault="004609AA">
      <w:pPr>
        <w:rPr>
          <w:sz w:val="20"/>
          <w:szCs w:val="20"/>
        </w:rPr>
      </w:pPr>
    </w:p>
    <w:p w:rsidR="004609AA" w:rsidRDefault="004609AA">
      <w:pPr>
        <w:rPr>
          <w:sz w:val="20"/>
          <w:szCs w:val="20"/>
        </w:rPr>
      </w:pPr>
    </w:p>
    <w:p w:rsidR="004609AA" w:rsidRDefault="004609AA">
      <w:pPr>
        <w:rPr>
          <w:sz w:val="20"/>
          <w:szCs w:val="20"/>
        </w:rPr>
      </w:pPr>
    </w:p>
    <w:p w:rsidR="004609AA" w:rsidRPr="004609AA" w:rsidRDefault="004609AA">
      <w:pPr>
        <w:rPr>
          <w:sz w:val="20"/>
          <w:szCs w:val="20"/>
        </w:rPr>
      </w:pPr>
    </w:p>
    <w:p w:rsidR="004609AA" w:rsidRDefault="004609AA"/>
    <w:sectPr w:rsidR="004609AA" w:rsidSect="0050125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ans">
    <w:panose1 w:val="020B0603020203020204"/>
    <w:charset w:val="CC"/>
    <w:family w:val="swiss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EAF"/>
    <w:rsid w:val="00024BFA"/>
    <w:rsid w:val="0003052B"/>
    <w:rsid w:val="0016482A"/>
    <w:rsid w:val="00191275"/>
    <w:rsid w:val="00222D8B"/>
    <w:rsid w:val="002D5E11"/>
    <w:rsid w:val="00420B0E"/>
    <w:rsid w:val="004609AA"/>
    <w:rsid w:val="004B6C78"/>
    <w:rsid w:val="0050125B"/>
    <w:rsid w:val="00564A52"/>
    <w:rsid w:val="0058411A"/>
    <w:rsid w:val="006301E1"/>
    <w:rsid w:val="006324C0"/>
    <w:rsid w:val="006377EE"/>
    <w:rsid w:val="006D4EAF"/>
    <w:rsid w:val="00820F4C"/>
    <w:rsid w:val="00844490"/>
    <w:rsid w:val="008F7799"/>
    <w:rsid w:val="0099238D"/>
    <w:rsid w:val="00992521"/>
    <w:rsid w:val="009C4BC6"/>
    <w:rsid w:val="009F4F78"/>
    <w:rsid w:val="00A65D06"/>
    <w:rsid w:val="00AC3791"/>
    <w:rsid w:val="00AF5FAD"/>
    <w:rsid w:val="00B7797F"/>
    <w:rsid w:val="00BB5A20"/>
    <w:rsid w:val="00BF095F"/>
    <w:rsid w:val="00C24936"/>
    <w:rsid w:val="00C41DDE"/>
    <w:rsid w:val="00D00654"/>
    <w:rsid w:val="00DB44DC"/>
    <w:rsid w:val="00E0284C"/>
    <w:rsid w:val="00E915FE"/>
    <w:rsid w:val="00EF1BD9"/>
    <w:rsid w:val="00EF798F"/>
    <w:rsid w:val="00F23758"/>
    <w:rsid w:val="00FA6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34EB2F3-8E1B-40F4-805A-751B11159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DD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4609A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Balloon Text"/>
    <w:basedOn w:val="a"/>
    <w:link w:val="a4"/>
    <w:uiPriority w:val="99"/>
    <w:semiHidden/>
    <w:unhideWhenUsed/>
    <w:rsid w:val="00E915F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15FE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AF5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8D27D-0E43-456B-8C55-04CF5B0501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1223</Words>
  <Characters>6972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Arm-P</cp:lastModifiedBy>
  <cp:revision>4</cp:revision>
  <cp:lastPrinted>2023-02-10T04:31:00Z</cp:lastPrinted>
  <dcterms:created xsi:type="dcterms:W3CDTF">2023-02-10T05:43:00Z</dcterms:created>
  <dcterms:modified xsi:type="dcterms:W3CDTF">2023-02-14T03:26:00Z</dcterms:modified>
</cp:coreProperties>
</file>