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AA" w:rsidRDefault="004609AA">
      <w:pPr>
        <w:rPr>
          <w:sz w:val="20"/>
          <w:szCs w:val="20"/>
        </w:rPr>
      </w:pPr>
    </w:p>
    <w:p w:rsidR="004609AA" w:rsidRDefault="004609AA">
      <w:pPr>
        <w:rPr>
          <w:sz w:val="20"/>
          <w:szCs w:val="20"/>
        </w:rPr>
      </w:pP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района</w:t>
      </w:r>
    </w:p>
    <w:p w:rsidR="00F23758" w:rsidRDefault="00D00654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>
        <w:rPr>
          <w:rFonts w:ascii="PT Astra Sans" w:eastAsia="Times New Roman" w:hAnsi="PT Astra Sans" w:cs="Arial"/>
          <w:b/>
          <w:lang w:eastAsia="ru-RU" w:bidi="ar-SA"/>
        </w:rPr>
        <w:t>«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Комплексное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 xml:space="preserve"> развитие сельских территорий Белозерского района</w:t>
      </w:r>
      <w:r>
        <w:rPr>
          <w:rFonts w:ascii="PT Astra Sans" w:eastAsia="Times New Roman" w:hAnsi="PT Astra Sans" w:cs="Arial"/>
          <w:b/>
          <w:lang w:eastAsia="ru-RU" w:bidi="ar-SA"/>
        </w:rPr>
        <w:t>»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 xml:space="preserve"> на 20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2</w:t>
      </w:r>
      <w:r w:rsidR="005E1FB7">
        <w:rPr>
          <w:rFonts w:ascii="PT Astra Sans" w:eastAsia="Times New Roman" w:hAnsi="PT Astra Sans" w:cs="Arial"/>
          <w:b/>
          <w:lang w:eastAsia="ru-RU" w:bidi="ar-SA"/>
        </w:rPr>
        <w:t>3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>-20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25 годы</w:t>
      </w:r>
    </w:p>
    <w:p w:rsidR="00EF798F" w:rsidRPr="00E915FE" w:rsidRDefault="00EF798F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20"/>
      </w:tblGrid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Наименование муниципальной</w:t>
            </w:r>
          </w:p>
          <w:p w:rsidR="00F23758" w:rsidRPr="00E915FE" w:rsidRDefault="00EF798F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5820" w:type="dxa"/>
            <w:shd w:val="clear" w:color="auto" w:fill="auto"/>
          </w:tcPr>
          <w:p w:rsidR="00F23758" w:rsidRPr="00E915FE" w:rsidRDefault="00EF798F" w:rsidP="005E1FB7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Комплексн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ое развитие сельских территорий Белозерского района на 20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 w:rsidR="005E1FB7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-20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25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 xml:space="preserve"> годы 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Цель 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Сохранение  доли сельского населения Белозерского </w:t>
            </w:r>
            <w:r>
              <w:rPr>
                <w:rFonts w:ascii="PT Astra Sans" w:hAnsi="PT Astra Sans"/>
              </w:rPr>
              <w:t>муниципального округа.</w:t>
            </w:r>
            <w:r w:rsidRPr="00ED36E0">
              <w:rPr>
                <w:rFonts w:ascii="PT Astra Sans" w:hAnsi="PT Astra Sans"/>
              </w:rPr>
              <w:t xml:space="preserve"> </w:t>
            </w:r>
          </w:p>
          <w:p w:rsidR="009C4BC6" w:rsidRPr="00E915FE" w:rsidRDefault="00EF798F" w:rsidP="00EF798F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П</w:t>
            </w:r>
            <w:r w:rsidRPr="00ED36E0">
              <w:rPr>
                <w:rFonts w:ascii="PT Astra Sans" w:hAnsi="PT Astra Sans"/>
              </w:rPr>
              <w:t>овышение доли общей площади благоустроенных жилых помещений в сельских населенных пу</w:t>
            </w:r>
            <w:r>
              <w:rPr>
                <w:rFonts w:ascii="PT Astra Sans" w:hAnsi="PT Astra Sans"/>
              </w:rPr>
              <w:t>нктах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EF798F" w:rsidRPr="00ED36E0" w:rsidRDefault="00FA6C2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 w:cs="Arial"/>
              </w:rPr>
              <w:t>-</w:t>
            </w:r>
            <w:r w:rsidR="009C4BC6">
              <w:rPr>
                <w:rFonts w:ascii="PT Astra Sans" w:hAnsi="PT Astra Sans" w:cs="Arial"/>
              </w:rPr>
              <w:t xml:space="preserve"> </w:t>
            </w:r>
            <w:r w:rsidR="00EF798F" w:rsidRPr="00ED36E0">
              <w:rPr>
                <w:rFonts w:ascii="PT Astra Sans" w:hAnsi="PT Astra Sans"/>
              </w:rPr>
              <w:t>Улучшение жилищных условий граждан, проживающих на сельских территориях;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обустройство инженерной инфраструктурой;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снижение уровня безработицы сельского населения трудоспособного возраста;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 xml:space="preserve">обеспечение сельских территорий объектами социальной и инженерной инфраструктуры; 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обеспечение автомобильными дорогами общего пользования с твердым покрытием, ведущими от сети автомобильных дорог общего пользования к общественно значимым объектам сельских населенных пунктов,</w:t>
            </w:r>
            <w:r>
              <w:rPr>
                <w:rFonts w:ascii="PT Astra Sans" w:hAnsi="PT Astra Sans"/>
              </w:rPr>
              <w:t xml:space="preserve"> расположенным</w:t>
            </w:r>
            <w:r w:rsidRPr="00ED36E0">
              <w:rPr>
                <w:rFonts w:ascii="PT Astra Sans" w:hAnsi="PT Astra Sans"/>
              </w:rPr>
              <w:t xml:space="preserve"> на сельских территориях, объектам производства и переработки продукции; </w:t>
            </w:r>
          </w:p>
          <w:p w:rsidR="00EF798F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 xml:space="preserve">реализация общественно-значимых проектов по благоустройству сельских территорий; </w:t>
            </w:r>
          </w:p>
          <w:p w:rsidR="009C4BC6" w:rsidRPr="00E915FE" w:rsidRDefault="00EF798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обеспечение создания комфортных условий жизнедеятельности в сельской местности.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Заказчик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Исполнитель-координатор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FA6C2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Разработчик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Исполнители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</w:t>
            </w:r>
            <w:r>
              <w:rPr>
                <w:rFonts w:ascii="PT Astra Sans" w:hAnsi="PT Astra Sans"/>
              </w:rPr>
              <w:t>в</w:t>
            </w:r>
            <w:r w:rsidRPr="00ED36E0">
              <w:rPr>
                <w:rFonts w:ascii="PT Astra Sans" w:hAnsi="PT Astra Sans"/>
              </w:rPr>
              <w:t>вод (приобретение) жилья для граждан, проживающих на сельских территориях, тыс. кв. м;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ввод в действие распределительных газовых сетей, км; 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продукции, км; 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количество реализованных проектов по </w:t>
            </w:r>
            <w:r w:rsidRPr="00ED36E0">
              <w:rPr>
                <w:rFonts w:ascii="PT Astra Sans" w:hAnsi="PT Astra Sans"/>
              </w:rPr>
              <w:lastRenderedPageBreak/>
              <w:t>благоустройству сельских территорий, ед.;</w:t>
            </w:r>
          </w:p>
          <w:p w:rsidR="0003052B" w:rsidRPr="00E915FE" w:rsidRDefault="00FA6C2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ED36E0">
              <w:rPr>
                <w:rFonts w:ascii="PT Astra Sans" w:hAnsi="PT Astra Sans"/>
              </w:rPr>
              <w:t>- количество реализованных проектов комплексного развития сельских территорий (сельских агломераций), ед.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и этапы реализации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5820" w:type="dxa"/>
            <w:shd w:val="clear" w:color="auto" w:fill="auto"/>
          </w:tcPr>
          <w:p w:rsidR="00F23758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2</w:t>
            </w:r>
            <w:r w:rsidR="005E1FB7">
              <w:rPr>
                <w:rFonts w:ascii="PT Astra Sans" w:eastAsia="Times New Roman" w:hAnsi="PT Astra Sans" w:cs="Arial"/>
                <w:lang w:eastAsia="ru-RU" w:bidi="ar-SA"/>
              </w:rPr>
              <w:t>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-202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годы</w:t>
            </w:r>
          </w:p>
          <w:p w:rsidR="0003052B" w:rsidRPr="0003052B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Перечень подпрограмм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(при их наличии)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Финансовое обеспечение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Общий объем финанси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рования Программы составляет 1 230 427,3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 в том числе: средства федерального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1 172 923,5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областного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42 079,88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муниципального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9 823,93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Pr="00E915FE" w:rsidRDefault="0003052B" w:rsidP="00FA6C2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внебюджетных источников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5 599,99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5820" w:type="dxa"/>
            <w:shd w:val="clear" w:color="auto" w:fill="auto"/>
          </w:tcPr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- к</w:t>
            </w:r>
            <w:r w:rsidRPr="00ED36E0">
              <w:rPr>
                <w:rFonts w:ascii="PT Astra Sans" w:hAnsi="PT Astra Sans"/>
              </w:rPr>
              <w:t>оличество сельских семей, улучшивших жилищные</w:t>
            </w:r>
            <w:r>
              <w:rPr>
                <w:rFonts w:ascii="PT Astra Sans" w:hAnsi="PT Astra Sans"/>
              </w:rPr>
              <w:t xml:space="preserve"> </w:t>
            </w:r>
            <w:r w:rsidRPr="00ED36E0">
              <w:rPr>
                <w:rFonts w:ascii="PT Astra Sans" w:hAnsi="PT Astra Sans"/>
              </w:rPr>
              <w:t>условия;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увеличение уровня газификации жилых домов (квартир) сетевым газом в сельской местности</w:t>
            </w:r>
            <w:r>
              <w:rPr>
                <w:rFonts w:ascii="PT Astra Sans" w:hAnsi="PT Astra Sans"/>
              </w:rPr>
              <w:t>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увеличение протяженности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продукции;</w:t>
            </w:r>
          </w:p>
          <w:p w:rsidR="00FA6C2F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реализация общественно-значимых проектов по благоустройству сельских территорий; </w:t>
            </w:r>
          </w:p>
          <w:p w:rsidR="00191275" w:rsidRPr="00E915FE" w:rsidRDefault="00FA6C2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реализация проектов комплексного развития сельских территорий (сельских агломераций).</w:t>
            </w:r>
          </w:p>
        </w:tc>
      </w:tr>
    </w:tbl>
    <w:p w:rsidR="004609AA" w:rsidRPr="00E915FE" w:rsidRDefault="004609AA" w:rsidP="004609AA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915FE" w:rsidRPr="00E915FE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915FE" w:rsidRPr="00E915FE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915FE" w:rsidRDefault="00E915FE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E915FE" w:rsidRDefault="00E915FE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50125B" w:rsidRDefault="0050125B" w:rsidP="00FA6C2F">
      <w:pPr>
        <w:pStyle w:val="Standard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Pr="00FA6C2F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D00654" w:rsidRPr="00FA6C2F" w:rsidRDefault="004609AA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FA6C2F">
        <w:rPr>
          <w:rFonts w:ascii="PT Astra Sans" w:eastAsia="Times New Roman" w:hAnsi="PT Astra Sans" w:cs="Times New Roman"/>
          <w:lang w:eastAsia="ru-RU" w:bidi="ar-SA"/>
        </w:rPr>
        <w:t>Комплексное</w:t>
      </w:r>
      <w:r w:rsidR="00D00654" w:rsidRPr="00FA6C2F">
        <w:rPr>
          <w:rFonts w:ascii="PT Astra Sans" w:eastAsia="Times New Roman" w:hAnsi="PT Astra Sans" w:cs="Times New Roman"/>
          <w:lang w:eastAsia="ru-RU" w:bidi="ar-SA"/>
        </w:rPr>
        <w:t xml:space="preserve"> развитие сельских терри</w:t>
      </w:r>
      <w:r w:rsidR="00820F4C">
        <w:rPr>
          <w:rFonts w:ascii="PT Astra Sans" w:eastAsia="Times New Roman" w:hAnsi="PT Astra Sans" w:cs="Times New Roman"/>
          <w:lang w:eastAsia="ru-RU" w:bidi="ar-SA"/>
        </w:rPr>
        <w:t>торий Белозерского района на 2020-2025 годы</w:t>
      </w:r>
    </w:p>
    <w:p w:rsidR="004609AA" w:rsidRPr="00FA6C2F" w:rsidRDefault="004609AA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>за 20</w:t>
      </w:r>
      <w:r w:rsidR="00820F4C">
        <w:rPr>
          <w:rFonts w:ascii="PT Astra Sans" w:eastAsia="Times New Roman" w:hAnsi="PT Astra Sans" w:cs="Times New Roman"/>
          <w:lang w:eastAsia="ru-RU" w:bidi="ar-SA"/>
        </w:rPr>
        <w:t>22</w:t>
      </w:r>
      <w:r w:rsidRPr="00FA6C2F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4609AA" w:rsidRPr="00FA6C2F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350"/>
        <w:gridCol w:w="901"/>
        <w:gridCol w:w="851"/>
        <w:gridCol w:w="1134"/>
        <w:gridCol w:w="960"/>
        <w:gridCol w:w="15"/>
        <w:gridCol w:w="2224"/>
      </w:tblGrid>
      <w:tr w:rsidR="004609AA" w:rsidRPr="00FA6C2F" w:rsidTr="00D718B6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6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851"/>
              <w:gridCol w:w="1134"/>
              <w:gridCol w:w="990"/>
              <w:gridCol w:w="2199"/>
              <w:gridCol w:w="370"/>
            </w:tblGrid>
            <w:tr w:rsidR="0050125B" w:rsidRPr="00FA6C2F" w:rsidTr="0050125B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50125B" w:rsidRPr="00FA6C2F" w:rsidRDefault="0050125B" w:rsidP="0050125B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50125B" w:rsidRPr="00FA6C2F" w:rsidTr="0050125B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85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50125B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50125B" w:rsidRPr="00FA6C2F" w:rsidRDefault="0050125B" w:rsidP="00D718B6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FA6C2F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50125B" w:rsidRPr="00FA6C2F" w:rsidRDefault="0050125B" w:rsidP="00D718B6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FA6C2F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2199" w:type="dxa"/>
                  <w:vAlign w:val="center"/>
                </w:tcPr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  <w:r w:rsidRPr="00FA6C2F">
                    <w:rPr>
                      <w:rFonts w:ascii="PT Astra Sans" w:hAnsi="PT Astra Sans"/>
                      <w:kern w:val="3"/>
                    </w:rPr>
                    <w:t>Причины снижения (увеличения)  показателя</w:t>
                  </w:r>
                </w:p>
                <w:p w:rsidR="0050125B" w:rsidRPr="00FA6C2F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FA6C2F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FA6C2F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4609AA" w:rsidRPr="00FA6C2F" w:rsidRDefault="004609AA" w:rsidP="00D718B6">
            <w:pPr>
              <w:rPr>
                <w:rFonts w:ascii="PT Astra Sans" w:hAnsi="PT Astra Sans"/>
              </w:rPr>
            </w:pPr>
          </w:p>
        </w:tc>
      </w:tr>
      <w:tr w:rsidR="0050125B" w:rsidRPr="00FA6C2F" w:rsidTr="0050125B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4B6C78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4B6C78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кв. м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222D8B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50125B" w:rsidP="0050125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50125B" w:rsidRPr="00FA6C2F" w:rsidTr="0050125B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действие распр</w:t>
            </w:r>
            <w:r>
              <w:rPr>
                <w:rFonts w:ascii="PT Astra Sans" w:hAnsi="PT Astra Sans"/>
                <w:sz w:val="20"/>
                <w:szCs w:val="20"/>
              </w:rPr>
              <w:t>еделительных газовых сетей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км</w:t>
            </w:r>
          </w:p>
          <w:p w:rsidR="00C41DDE" w:rsidRPr="00FA6C2F" w:rsidRDefault="00C41DDE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E1FB7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E1FB7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E1FB7" w:rsidP="005E1FB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E1FB7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50125B" w:rsidP="0050125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50125B" w:rsidRPr="00FA6C2F" w:rsidTr="0050125B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C41DDE" w:rsidRDefault="00C41DDE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км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EF1BD9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50125B" w:rsidP="0050125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50125B" w:rsidRPr="00FA6C2F" w:rsidTr="0050125B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C41DDE" w:rsidRDefault="00C41DDE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по благоустройству сельских территорий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B" w:rsidRPr="00FA6C2F" w:rsidRDefault="0050125B" w:rsidP="0050125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C41DDE" w:rsidRPr="00FA6C2F" w:rsidTr="0050125B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C41DDE" w:rsidRDefault="00C41DDE" w:rsidP="00D718B6">
            <w:pPr>
              <w:pStyle w:val="Standard"/>
              <w:snapToGrid w:val="0"/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DDE" w:rsidRPr="00FA6C2F" w:rsidRDefault="00C41DDE" w:rsidP="00C41DD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22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1DDE" w:rsidRPr="00FA6C2F" w:rsidRDefault="00C41DDE" w:rsidP="0050125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50125B" w:rsidRPr="00FA6C2F" w:rsidTr="0050125B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C41DDE" w:rsidRDefault="0050125B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C41DDE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Итоговая сводная оценка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FA6C2F" w:rsidRDefault="0050125B" w:rsidP="00D718B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125B" w:rsidRPr="00EF1BD9" w:rsidRDefault="00EF1BD9" w:rsidP="005E1FB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EF1BD9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</w:t>
            </w:r>
            <w:r w:rsidR="005E1FB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125B" w:rsidRPr="00FA6C2F" w:rsidRDefault="0050125B" w:rsidP="0050125B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4609AA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4609AA" w:rsidRPr="00FA6C2F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 xml:space="preserve">Форма 5. Оценка эффективности муниципальной </w:t>
      </w:r>
      <w:proofErr w:type="gramStart"/>
      <w:r w:rsidRPr="00FA6C2F">
        <w:rPr>
          <w:rFonts w:ascii="PT Astra Sans" w:eastAsia="Times New Roman" w:hAnsi="PT Astra Sans" w:cs="Times New Roman"/>
          <w:lang w:eastAsia="ru-RU" w:bidi="ar-SA"/>
        </w:rPr>
        <w:t>программы  «</w:t>
      </w:r>
      <w:proofErr w:type="gramEnd"/>
      <w:r w:rsidRPr="00FA6C2F">
        <w:rPr>
          <w:rFonts w:ascii="PT Astra Sans" w:eastAsia="Times New Roman" w:hAnsi="PT Astra Sans" w:cs="Times New Roman"/>
          <w:lang w:eastAsia="ru-RU" w:bidi="ar-SA"/>
        </w:rPr>
        <w:t>Содействие занятости населения Белозерского района на 2018 год» за 2018 год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4609AA" w:rsidRPr="00FA6C2F" w:rsidTr="00D718B6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FA6C2F" w:rsidTr="00D718B6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FA6C2F" w:rsidRDefault="004609AA" w:rsidP="00AC3791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не достигнута, эффективность </w:t>
            </w:r>
            <w:r w:rsidR="00AC3791" w:rsidRPr="00FA6C2F">
              <w:rPr>
                <w:rFonts w:ascii="PT Astra Sans" w:eastAsia="Times New Roman" w:hAnsi="PT Astra Sans" w:cs="Times New Roman"/>
                <w:lang w:eastAsia="ru-RU" w:bidi="ar-SA"/>
              </w:rPr>
              <w:t>находится на уровне предыдущего года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FA6C2F" w:rsidRDefault="00AC3791" w:rsidP="005E1FB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5E1FB7"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347BDF" w:rsidRDefault="0058411A" w:rsidP="008F7799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347BD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Повышение доступности улучшения жилищных условий для граждан, пр</w:t>
            </w:r>
            <w:r w:rsidR="008F7799" w:rsidRPr="00347BD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оживающих в сельской местности</w:t>
            </w:r>
          </w:p>
        </w:tc>
      </w:tr>
    </w:tbl>
    <w:p w:rsidR="00F23758" w:rsidRPr="00FA6C2F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Pr="00FA6C2F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609AA" w:rsidRPr="00FA6C2F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609AA" w:rsidRPr="00FA6C2F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о финансировании муниципальной</w:t>
      </w:r>
      <w:r w:rsidR="00564A52"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программы Белозерского района</w:t>
      </w:r>
      <w:r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564A52" w:rsidRPr="00FA6C2F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Комплексн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>ое развитие сельских территорий Белозерского района на 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5E1FB7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>-20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25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годы </w:t>
      </w:r>
    </w:p>
    <w:p w:rsidR="004609AA" w:rsidRPr="00FA6C2F" w:rsidRDefault="004609AA" w:rsidP="00564A52">
      <w:pPr>
        <w:pStyle w:val="Standard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за 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5E1FB7">
        <w:rPr>
          <w:rFonts w:ascii="PT Astra Sans" w:eastAsia="Times New Roman" w:hAnsi="PT Astra Sans" w:cs="Times New Roman"/>
          <w:b/>
          <w:lang w:eastAsia="ru-RU" w:bidi="ar-SA"/>
        </w:rPr>
        <w:t>3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Pr="00FA6C2F">
        <w:rPr>
          <w:rFonts w:ascii="PT Astra Sans" w:eastAsia="Times New Roman" w:hAnsi="PT Astra Sans" w:cs="Times New Roman"/>
          <w:b/>
          <w:lang w:eastAsia="ru-RU" w:bidi="ar-SA"/>
        </w:rPr>
        <w:t>год</w:t>
      </w:r>
    </w:p>
    <w:p w:rsidR="004609AA" w:rsidRPr="00FA6C2F" w:rsidRDefault="004609AA" w:rsidP="004609AA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</w:r>
      <w:r w:rsidRPr="00FA6C2F">
        <w:rPr>
          <w:rFonts w:ascii="PT Astra Sans" w:eastAsia="Times New Roman" w:hAnsi="PT Astra Sans" w:cs="Times New Roman"/>
          <w:lang w:eastAsia="ru-RU" w:bidi="ar-SA"/>
        </w:rPr>
        <w:t>тыс. рублей</w:t>
      </w:r>
      <w:r w:rsidRPr="00FA6C2F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4609AA" w:rsidRPr="00FA6C2F" w:rsidTr="00D718B6">
        <w:trPr>
          <w:trHeight w:val="27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FA6C2F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FA6C2F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A" w:rsidRPr="00FA6C2F" w:rsidRDefault="004609AA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4609AA" w:rsidRPr="00FA6C2F" w:rsidTr="00D718B6">
        <w:trPr>
          <w:trHeight w:val="276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367 200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15 104,5</w:t>
            </w: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356 184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12 822,9</w:t>
            </w: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64A52" w:rsidP="008F7799">
            <w:pPr>
              <w:jc w:val="center"/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7</w:t>
            </w:r>
            <w:r w:rsidR="005E1FB7">
              <w:rPr>
                <w:rFonts w:ascii="PT Astra Sans" w:hAnsi="PT Astra Sans"/>
                <w:kern w:val="3"/>
              </w:rPr>
              <w:t xml:space="preserve"> 344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261,6</w:t>
            </w:r>
          </w:p>
        </w:tc>
      </w:tr>
      <w:tr w:rsidR="004609AA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4609AA" w:rsidP="00D718B6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бюджет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3 672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A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20</w:t>
            </w:r>
          </w:p>
        </w:tc>
      </w:tr>
      <w:tr w:rsidR="00564A52" w:rsidRPr="00FA6C2F" w:rsidTr="00D718B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52" w:rsidRPr="00FA6C2F" w:rsidRDefault="00564A52" w:rsidP="00D718B6">
            <w:pPr>
              <w:rPr>
                <w:rFonts w:ascii="PT Astra Sans" w:hAnsi="PT Astra Sans"/>
              </w:rPr>
            </w:pPr>
            <w:r w:rsidRPr="00FA6C2F">
              <w:rPr>
                <w:rFonts w:ascii="PT Astra Sans" w:hAnsi="PT Astra Sans"/>
              </w:rPr>
              <w:t>внебюджетные источники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52" w:rsidRPr="00FA6C2F" w:rsidRDefault="00347BDF" w:rsidP="008F7799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52" w:rsidRPr="00FA6C2F" w:rsidRDefault="005E1FB7" w:rsidP="00D718B6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2 000</w:t>
            </w:r>
          </w:p>
        </w:tc>
      </w:tr>
    </w:tbl>
    <w:p w:rsidR="004609AA" w:rsidRDefault="004609AA">
      <w:pPr>
        <w:rPr>
          <w:sz w:val="20"/>
          <w:szCs w:val="20"/>
        </w:rPr>
      </w:pPr>
    </w:p>
    <w:p w:rsidR="00F23758" w:rsidRDefault="00F23758" w:rsidP="00F23758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  <w:bookmarkStart w:id="0" w:name="_GoBack"/>
      <w:bookmarkEnd w:id="0"/>
    </w:p>
    <w:sectPr w:rsidR="00F23758" w:rsidSect="005012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24BFA"/>
    <w:rsid w:val="0003052B"/>
    <w:rsid w:val="0016482A"/>
    <w:rsid w:val="00191275"/>
    <w:rsid w:val="00222D8B"/>
    <w:rsid w:val="002D5E11"/>
    <w:rsid w:val="00347BDF"/>
    <w:rsid w:val="00420B0E"/>
    <w:rsid w:val="004609AA"/>
    <w:rsid w:val="004B6C78"/>
    <w:rsid w:val="0050125B"/>
    <w:rsid w:val="00564A52"/>
    <w:rsid w:val="0058411A"/>
    <w:rsid w:val="005E1FB7"/>
    <w:rsid w:val="006301E1"/>
    <w:rsid w:val="006D4EAF"/>
    <w:rsid w:val="00820F4C"/>
    <w:rsid w:val="00844490"/>
    <w:rsid w:val="008F7799"/>
    <w:rsid w:val="00992521"/>
    <w:rsid w:val="009C4BC6"/>
    <w:rsid w:val="009F4F78"/>
    <w:rsid w:val="00AC3791"/>
    <w:rsid w:val="00B7797F"/>
    <w:rsid w:val="00BF095F"/>
    <w:rsid w:val="00C41DDE"/>
    <w:rsid w:val="00D00654"/>
    <w:rsid w:val="00E0284C"/>
    <w:rsid w:val="00E915FE"/>
    <w:rsid w:val="00EF1BD9"/>
    <w:rsid w:val="00EF798F"/>
    <w:rsid w:val="00F23758"/>
    <w:rsid w:val="00FA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340C7-A26D-44F3-834A-8897FBBC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23CEC-FA9F-4BEC-8995-3A2BFC74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Arm-P</cp:lastModifiedBy>
  <cp:revision>2</cp:revision>
  <cp:lastPrinted>2020-03-30T03:31:00Z</cp:lastPrinted>
  <dcterms:created xsi:type="dcterms:W3CDTF">2024-03-05T08:47:00Z</dcterms:created>
  <dcterms:modified xsi:type="dcterms:W3CDTF">2024-03-05T08:47:00Z</dcterms:modified>
</cp:coreProperties>
</file>